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9F124" w14:textId="77777777" w:rsidR="002C3B80" w:rsidRDefault="008809E6">
      <w:pPr>
        <w:spacing w:after="30"/>
      </w:pPr>
      <w:r>
        <w:rPr>
          <w:b/>
          <w:bCs/>
          <w:color w:val="13284A"/>
          <w:sz w:val="30"/>
          <w:szCs w:val="30"/>
        </w:rPr>
        <w:t>AI and the Indian Economy: A Segment-Based Scenario Framework</w:t>
      </w:r>
    </w:p>
    <w:p w14:paraId="5279F125" w14:textId="77777777" w:rsidR="002C3B80" w:rsidRDefault="008809E6">
      <w:pPr>
        <w:spacing w:after="180"/>
      </w:pPr>
      <w:r>
        <w:rPr>
          <w:i/>
          <w:iCs/>
          <w:color w:val="555555"/>
          <w:sz w:val="19"/>
          <w:szCs w:val="19"/>
        </w:rPr>
        <w:t>An India-adapted extension of The Anthropic Institute's “Economic Scenarios for Transformative AI” (Working Paper No. 2026-02) — directional synthesis, not a calibrated model</w:t>
      </w:r>
    </w:p>
    <w:p w14:paraId="5279F126" w14:textId="77777777" w:rsidR="002C3B80" w:rsidRDefault="008809E6">
      <w:pPr>
        <w:spacing w:before="200" w:after="90"/>
      </w:pPr>
      <w:r>
        <w:rPr>
          <w:b/>
          <w:bCs/>
          <w:color w:val="13284A"/>
          <w:sz w:val="23"/>
          <w:szCs w:val="23"/>
        </w:rPr>
        <w:t>1.  Why the US framework doesn't transplant directly</w:t>
      </w:r>
    </w:p>
    <w:p w14:paraId="5279F127" w14:textId="77777777" w:rsidR="002C3B80" w:rsidRDefault="008809E6">
      <w:pPr>
        <w:spacing w:after="40"/>
      </w:pPr>
      <w:r>
        <w:rPr>
          <w:color w:val="1A1A1A"/>
          <w:sz w:val="19"/>
          <w:szCs w:val="19"/>
        </w:rPr>
        <w:t xml:space="preserve">The original paper models a near-universally wage-employed economy, so a single national unemployment rate and one cognitive/all-other occupation split can carry the story. India's economy is structurally different in ways that break that framing before the AI parameters even </w:t>
      </w:r>
      <w:proofErr w:type="gramStart"/>
      <w:r>
        <w:rPr>
          <w:color w:val="1A1A1A"/>
          <w:sz w:val="19"/>
          <w:szCs w:val="19"/>
        </w:rPr>
        <w:t>enter:</w:t>
      </w:r>
      <w:proofErr w:type="gramEnd"/>
      <w:r>
        <w:rPr>
          <w:color w:val="1A1A1A"/>
          <w:sz w:val="19"/>
          <w:szCs w:val="19"/>
        </w:rPr>
        <w:t xml:space="preserve"> roughly 88% of the workforce is informal and about three in five workers are self-employed, so a displaced worker rarely shows up as “unemployed” — they move into underemployment, family land or gig work instead. The segment genuinely exposed to near-term LLM displacement — formal IT services, BPM and GCCs — is only about 1–2% of total employment, so a single blended GDP or employment number would show almost nothing moving even in a severe scenario, while masking a real shock to the specific, economically outsized cohort that sits inside it. And India is still adding 8–10 million people to its working-age population every year, against a US economy whose comparable population is roughly flat — the same disruption lands on a labour market that already needs to create jobs, not just preserve them. For all these reasons, this exercise reports outcomes across five segments rather than one economy-wide average.</w:t>
      </w:r>
    </w:p>
    <w:p w14:paraId="5279F128" w14:textId="77777777" w:rsidR="002C3B80" w:rsidRDefault="008809E6">
      <w:pPr>
        <w:spacing w:before="200" w:after="90"/>
      </w:pPr>
      <w:r>
        <w:rPr>
          <w:b/>
          <w:bCs/>
          <w:color w:val="13284A"/>
          <w:sz w:val="23"/>
          <w:szCs w:val="23"/>
        </w:rPr>
        <w:t>2.  The five segments — current baseline</w:t>
      </w:r>
    </w:p>
    <w:p w14:paraId="5279F129" w14:textId="77777777" w:rsidR="002C3B80" w:rsidRDefault="008809E6">
      <w:pPr>
        <w:spacing w:after="100"/>
      </w:pPr>
      <w:r>
        <w:rPr>
          <w:i/>
          <w:iCs/>
          <w:color w:val="555555"/>
          <w:sz w:val="16"/>
          <w:szCs w:val="16"/>
        </w:rPr>
        <w:t xml:space="preserve">Figures below are the best available public estimates from different sources and years (PLFS 2023-24, </w:t>
      </w:r>
      <w:proofErr w:type="spellStart"/>
      <w:r>
        <w:rPr>
          <w:i/>
          <w:iCs/>
          <w:color w:val="555555"/>
          <w:sz w:val="16"/>
          <w:szCs w:val="16"/>
        </w:rPr>
        <w:t>MoSPI</w:t>
      </w:r>
      <w:proofErr w:type="spellEnd"/>
      <w:r>
        <w:rPr>
          <w:i/>
          <w:iCs/>
          <w:color w:val="555555"/>
          <w:sz w:val="16"/>
          <w:szCs w:val="16"/>
        </w:rPr>
        <w:t xml:space="preserve"> GVA 2024-25, NASSCOM/</w:t>
      </w:r>
      <w:proofErr w:type="spellStart"/>
      <w:r>
        <w:rPr>
          <w:i/>
          <w:iCs/>
          <w:color w:val="555555"/>
          <w:sz w:val="16"/>
          <w:szCs w:val="16"/>
        </w:rPr>
        <w:t>Zinnov</w:t>
      </w:r>
      <w:proofErr w:type="spellEnd"/>
      <w:r>
        <w:rPr>
          <w:i/>
          <w:iCs/>
          <w:color w:val="555555"/>
          <w:sz w:val="16"/>
          <w:szCs w:val="16"/>
        </w:rPr>
        <w:t xml:space="preserve"> FY26, NITI Aayog) and do not reconcile to one single national-accounting framework — treat them as orders of magnitude, not a precise decomposition.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1750"/>
        <w:gridCol w:w="1650"/>
        <w:gridCol w:w="1650"/>
        <w:gridCol w:w="2050"/>
        <w:gridCol w:w="4000"/>
      </w:tblGrid>
      <w:tr w:rsidR="002C3B80" w14:paraId="5279F130" w14:textId="77777777">
        <w:tc>
          <w:tcPr>
            <w:tcW w:w="33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13284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2A" w14:textId="77777777" w:rsidR="002C3B80" w:rsidRDefault="008809E6">
            <w:r>
              <w:rPr>
                <w:b/>
                <w:bCs/>
                <w:color w:val="FFFFFF"/>
                <w:sz w:val="17"/>
                <w:szCs w:val="17"/>
              </w:rPr>
              <w:t>Segment</w:t>
            </w:r>
          </w:p>
        </w:tc>
        <w:tc>
          <w:tcPr>
            <w:tcW w:w="175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13284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2B" w14:textId="77777777" w:rsidR="002C3B80" w:rsidRDefault="008809E6">
            <w:r>
              <w:rPr>
                <w:b/>
                <w:bCs/>
                <w:color w:val="FFFFFF"/>
                <w:sz w:val="17"/>
                <w:szCs w:val="17"/>
              </w:rPr>
              <w:t>Workforce</w:t>
            </w:r>
          </w:p>
        </w:tc>
        <w:tc>
          <w:tcPr>
            <w:tcW w:w="165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13284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2C" w14:textId="77777777" w:rsidR="002C3B80" w:rsidRDefault="008809E6">
            <w:r>
              <w:rPr>
                <w:b/>
                <w:bCs/>
                <w:color w:val="FFFFFF"/>
                <w:sz w:val="17"/>
                <w:szCs w:val="17"/>
              </w:rPr>
              <w:t>% of workforce</w:t>
            </w:r>
          </w:p>
        </w:tc>
        <w:tc>
          <w:tcPr>
            <w:tcW w:w="165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13284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2D" w14:textId="77777777" w:rsidR="002C3B80" w:rsidRDefault="008809E6">
            <w:r>
              <w:rPr>
                <w:b/>
                <w:bCs/>
                <w:color w:val="FFFFFF"/>
                <w:sz w:val="17"/>
                <w:szCs w:val="17"/>
              </w:rPr>
              <w:t>% of GDP</w:t>
            </w:r>
          </w:p>
        </w:tc>
        <w:tc>
          <w:tcPr>
            <w:tcW w:w="205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13284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2E" w14:textId="77777777" w:rsidR="002C3B80" w:rsidRDefault="008809E6">
            <w:r>
              <w:rPr>
                <w:b/>
                <w:bCs/>
                <w:color w:val="FFFFFF"/>
                <w:sz w:val="17"/>
                <w:szCs w:val="17"/>
              </w:rPr>
              <w:t>Formality</w:t>
            </w:r>
          </w:p>
        </w:tc>
        <w:tc>
          <w:tcPr>
            <w:tcW w:w="40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13284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2F" w14:textId="77777777" w:rsidR="002C3B80" w:rsidRDefault="008809E6">
            <w:r>
              <w:rPr>
                <w:b/>
                <w:bCs/>
                <w:color w:val="FFFFFF"/>
                <w:sz w:val="17"/>
                <w:szCs w:val="17"/>
              </w:rPr>
              <w:t>Near-term AI exposure</w:t>
            </w:r>
          </w:p>
        </w:tc>
      </w:tr>
      <w:tr w:rsidR="002C3B80" w14:paraId="5279F137" w14:textId="77777777">
        <w:tc>
          <w:tcPr>
            <w:tcW w:w="33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31" w14:textId="77777777" w:rsidR="002C3B80" w:rsidRDefault="008809E6">
            <w:r>
              <w:rPr>
                <w:b/>
                <w:bCs/>
                <w:color w:val="1A1A1A"/>
                <w:sz w:val="16"/>
                <w:szCs w:val="16"/>
              </w:rPr>
              <w:t>Agriculture</w:t>
            </w:r>
          </w:p>
        </w:tc>
        <w:tc>
          <w:tcPr>
            <w:tcW w:w="175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32" w14:textId="77777777" w:rsidR="002C3B80" w:rsidRDefault="008809E6">
            <w:r>
              <w:rPr>
                <w:color w:val="1A1A1A"/>
                <w:sz w:val="15"/>
                <w:szCs w:val="15"/>
              </w:rPr>
              <w:t>~280 million</w:t>
            </w:r>
          </w:p>
        </w:tc>
        <w:tc>
          <w:tcPr>
            <w:tcW w:w="165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33" w14:textId="77777777" w:rsidR="002C3B80" w:rsidRDefault="008809E6">
            <w:r>
              <w:rPr>
                <w:color w:val="1A1A1A"/>
                <w:sz w:val="15"/>
                <w:szCs w:val="15"/>
              </w:rPr>
              <w:t>~46–50%</w:t>
            </w:r>
          </w:p>
        </w:tc>
        <w:tc>
          <w:tcPr>
            <w:tcW w:w="165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34" w14:textId="77777777" w:rsidR="002C3B80" w:rsidRDefault="008809E6">
            <w:r>
              <w:rPr>
                <w:color w:val="1A1A1A"/>
                <w:sz w:val="15"/>
                <w:szCs w:val="15"/>
              </w:rPr>
              <w:t>~18%</w:t>
            </w:r>
          </w:p>
        </w:tc>
        <w:tc>
          <w:tcPr>
            <w:tcW w:w="205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35" w14:textId="77777777" w:rsidR="002C3B80" w:rsidRDefault="008809E6">
            <w:r>
              <w:rPr>
                <w:color w:val="1A1A1A"/>
                <w:sz w:val="15"/>
                <w:szCs w:val="15"/>
              </w:rPr>
              <w:t>Almost entirely self-employed / family labour</w:t>
            </w:r>
          </w:p>
        </w:tc>
        <w:tc>
          <w:tcPr>
            <w:tcW w:w="40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36" w14:textId="77777777" w:rsidR="002C3B80" w:rsidRDefault="008809E6">
            <w:r>
              <w:rPr>
                <w:color w:val="1A1A1A"/>
                <w:sz w:val="15"/>
                <w:szCs w:val="15"/>
              </w:rPr>
              <w:t>Low for labour substitution; medium for productivity via AI-enabled advisory (weather, pest, price discovery)</w:t>
            </w:r>
          </w:p>
        </w:tc>
      </w:tr>
      <w:tr w:rsidR="002C3B80" w14:paraId="5279F13E" w14:textId="77777777">
        <w:tc>
          <w:tcPr>
            <w:tcW w:w="33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EEF1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38" w14:textId="77777777" w:rsidR="002C3B80" w:rsidRDefault="008809E6">
            <w:r>
              <w:rPr>
                <w:b/>
                <w:bCs/>
                <w:color w:val="1A1A1A"/>
                <w:sz w:val="16"/>
                <w:szCs w:val="16"/>
              </w:rPr>
              <w:t>Construction &amp; manufacturing</w:t>
            </w:r>
          </w:p>
        </w:tc>
        <w:tc>
          <w:tcPr>
            <w:tcW w:w="175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EEF1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39" w14:textId="77777777" w:rsidR="002C3B80" w:rsidRDefault="008809E6">
            <w:r>
              <w:rPr>
                <w:color w:val="1A1A1A"/>
                <w:sz w:val="15"/>
                <w:szCs w:val="15"/>
              </w:rPr>
              <w:t>~140 million (construction ~75M, manufacturing ~65M)</w:t>
            </w:r>
          </w:p>
        </w:tc>
        <w:tc>
          <w:tcPr>
            <w:tcW w:w="165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EEF1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3A" w14:textId="77777777" w:rsidR="002C3B80" w:rsidRDefault="008809E6">
            <w:r>
              <w:rPr>
                <w:color w:val="1A1A1A"/>
                <w:sz w:val="15"/>
                <w:szCs w:val="15"/>
              </w:rPr>
              <w:t>~23–25%</w:t>
            </w:r>
          </w:p>
        </w:tc>
        <w:tc>
          <w:tcPr>
            <w:tcW w:w="165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EEF1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3B" w14:textId="77777777" w:rsidR="002C3B80" w:rsidRDefault="008809E6">
            <w:r>
              <w:rPr>
                <w:color w:val="1A1A1A"/>
                <w:sz w:val="15"/>
                <w:szCs w:val="15"/>
              </w:rPr>
              <w:t>~27% (industry total; construction alone ~8.75%)</w:t>
            </w:r>
          </w:p>
        </w:tc>
        <w:tc>
          <w:tcPr>
            <w:tcW w:w="205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EEF1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3C" w14:textId="77777777" w:rsidR="002C3B80" w:rsidRDefault="008809E6">
            <w:r>
              <w:rPr>
                <w:color w:val="1A1A1A"/>
                <w:sz w:val="15"/>
                <w:szCs w:val="15"/>
              </w:rPr>
              <w:t>Mostly informal / contract labour</w:t>
            </w:r>
          </w:p>
        </w:tc>
        <w:tc>
          <w:tcPr>
            <w:tcW w:w="40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EEF1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3D" w14:textId="77777777" w:rsidR="002C3B80" w:rsidRDefault="008809E6">
            <w:r>
              <w:rPr>
                <w:color w:val="1A1A1A"/>
                <w:sz w:val="15"/>
                <w:szCs w:val="15"/>
              </w:rPr>
              <w:t>Low for on-site manual work; medium, longer horizon, for design, estimation and prefab automation</w:t>
            </w:r>
          </w:p>
        </w:tc>
      </w:tr>
      <w:tr w:rsidR="002C3B80" w14:paraId="5279F145" w14:textId="77777777">
        <w:tc>
          <w:tcPr>
            <w:tcW w:w="33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3F" w14:textId="77777777" w:rsidR="002C3B80" w:rsidRDefault="008809E6">
            <w:r>
              <w:rPr>
                <w:b/>
                <w:bCs/>
                <w:color w:val="1A1A1A"/>
                <w:sz w:val="16"/>
                <w:szCs w:val="16"/>
              </w:rPr>
              <w:t>Informal blue-collar &amp; platform/gig services</w:t>
            </w:r>
          </w:p>
        </w:tc>
        <w:tc>
          <w:tcPr>
            <w:tcW w:w="175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40" w14:textId="77777777" w:rsidR="002C3B80" w:rsidRDefault="008809E6">
            <w:r>
              <w:rPr>
                <w:color w:val="1A1A1A"/>
                <w:sz w:val="15"/>
                <w:szCs w:val="15"/>
              </w:rPr>
              <w:t>Balance of the ~180M non-</w:t>
            </w:r>
            <w:proofErr w:type="spellStart"/>
            <w:r>
              <w:rPr>
                <w:color w:val="1A1A1A"/>
                <w:sz w:val="15"/>
                <w:szCs w:val="15"/>
              </w:rPr>
              <w:t>agri</w:t>
            </w:r>
            <w:proofErr w:type="spellEnd"/>
            <w:r>
              <w:rPr>
                <w:color w:val="1A1A1A"/>
                <w:sz w:val="15"/>
                <w:szCs w:val="15"/>
              </w:rPr>
              <w:t>, non-construction informal workforce; gig/platform workers alone projected to reach 23.5M by 2029-30 (NITI Aayog)</w:t>
            </w:r>
          </w:p>
        </w:tc>
        <w:tc>
          <w:tcPr>
            <w:tcW w:w="165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41" w14:textId="77777777" w:rsidR="002C3B80" w:rsidRDefault="008809E6">
            <w:r>
              <w:rPr>
                <w:color w:val="1A1A1A"/>
                <w:sz w:val="15"/>
                <w:szCs w:val="15"/>
              </w:rPr>
              <w:t>~20–22%</w:t>
            </w:r>
          </w:p>
        </w:tc>
        <w:tc>
          <w:tcPr>
            <w:tcW w:w="165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42" w14:textId="77777777" w:rsidR="002C3B80" w:rsidRDefault="008809E6">
            <w:r>
              <w:rPr>
                <w:color w:val="1A1A1A"/>
                <w:sz w:val="15"/>
                <w:szCs w:val="15"/>
              </w:rPr>
              <w:t>Part of the 55% services share</w:t>
            </w:r>
          </w:p>
        </w:tc>
        <w:tc>
          <w:tcPr>
            <w:tcW w:w="205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43" w14:textId="77777777" w:rsidR="002C3B80" w:rsidRDefault="008809E6">
            <w:r>
              <w:rPr>
                <w:color w:val="1A1A1A"/>
                <w:sz w:val="15"/>
                <w:szCs w:val="15"/>
              </w:rPr>
              <w:t>Overwhelmingly informal / platform-mediated</w:t>
            </w:r>
          </w:p>
        </w:tc>
        <w:tc>
          <w:tcPr>
            <w:tcW w:w="40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44" w14:textId="77777777" w:rsidR="002C3B80" w:rsidRDefault="008809E6">
            <w:r>
              <w:rPr>
                <w:color w:val="1A1A1A"/>
                <w:sz w:val="15"/>
                <w:szCs w:val="15"/>
              </w:rPr>
              <w:t>Low–medium near term; platform-matching AI more likely expands this segment than shrinks it</w:t>
            </w:r>
          </w:p>
        </w:tc>
      </w:tr>
      <w:tr w:rsidR="002C3B80" w14:paraId="5279F14C" w14:textId="77777777">
        <w:tc>
          <w:tcPr>
            <w:tcW w:w="33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EEF1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46" w14:textId="77777777" w:rsidR="002C3B80" w:rsidRDefault="008809E6">
            <w:r>
              <w:rPr>
                <w:b/>
                <w:bCs/>
                <w:color w:val="1A1A1A"/>
                <w:sz w:val="16"/>
                <w:szCs w:val="16"/>
              </w:rPr>
              <w:t>Formal white-collar IT-BPM &amp; GCCs</w:t>
            </w:r>
          </w:p>
        </w:tc>
        <w:tc>
          <w:tcPr>
            <w:tcW w:w="175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EEF1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47" w14:textId="77777777" w:rsidR="002C3B80" w:rsidRDefault="008809E6">
            <w:r>
              <w:rPr>
                <w:color w:val="1A1A1A"/>
                <w:sz w:val="15"/>
                <w:szCs w:val="15"/>
              </w:rPr>
              <w:t>~13–14 million (5.4–8M ICT-BPO industry + 2.36M GCC employees, some overlap)</w:t>
            </w:r>
          </w:p>
        </w:tc>
        <w:tc>
          <w:tcPr>
            <w:tcW w:w="165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EEF1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48" w14:textId="77777777" w:rsidR="002C3B80" w:rsidRDefault="008809E6">
            <w:r>
              <w:rPr>
                <w:color w:val="1A1A1A"/>
                <w:sz w:val="15"/>
                <w:szCs w:val="15"/>
              </w:rPr>
              <w:t>~2%</w:t>
            </w:r>
          </w:p>
        </w:tc>
        <w:tc>
          <w:tcPr>
            <w:tcW w:w="165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EEF1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49" w14:textId="77777777" w:rsidR="002C3B80" w:rsidRDefault="008809E6">
            <w:r>
              <w:rPr>
                <w:color w:val="1A1A1A"/>
                <w:sz w:val="15"/>
                <w:szCs w:val="15"/>
              </w:rPr>
              <w:t>~7.5%+ of GDP via IT-BPM exports alone; FY26 industry revenue $315bn</w:t>
            </w:r>
          </w:p>
        </w:tc>
        <w:tc>
          <w:tcPr>
            <w:tcW w:w="205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EEF1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4A" w14:textId="77777777" w:rsidR="002C3B80" w:rsidRDefault="008809E6">
            <w:r>
              <w:rPr>
                <w:color w:val="1A1A1A"/>
                <w:sz w:val="15"/>
                <w:szCs w:val="15"/>
              </w:rPr>
              <w:t>Formal, salaried</w:t>
            </w:r>
          </w:p>
        </w:tc>
        <w:tc>
          <w:tcPr>
            <w:tcW w:w="40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EEF1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4B" w14:textId="77777777" w:rsidR="002C3B80" w:rsidRDefault="008809E6">
            <w:r>
              <w:rPr>
                <w:color w:val="1A1A1A"/>
                <w:sz w:val="15"/>
                <w:szCs w:val="15"/>
              </w:rPr>
              <w:t>High — this is the segment structurally analogous to the paper's “cognitive occupations”</w:t>
            </w:r>
          </w:p>
        </w:tc>
      </w:tr>
      <w:tr w:rsidR="002C3B80" w14:paraId="5279F153" w14:textId="77777777">
        <w:tc>
          <w:tcPr>
            <w:tcW w:w="33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4D" w14:textId="77777777" w:rsidR="002C3B80" w:rsidRDefault="008809E6">
            <w:proofErr w:type="gramStart"/>
            <w:r>
              <w:rPr>
                <w:b/>
                <w:bCs/>
                <w:color w:val="1A1A1A"/>
                <w:sz w:val="16"/>
                <w:szCs w:val="16"/>
              </w:rPr>
              <w:t>Other</w:t>
            </w:r>
            <w:proofErr w:type="gramEnd"/>
            <w:r>
              <w:rPr>
                <w:b/>
                <w:bCs/>
                <w:color w:val="1A1A1A"/>
                <w:sz w:val="16"/>
                <w:szCs w:val="16"/>
              </w:rPr>
              <w:t xml:space="preserve"> formal services &amp; public sector</w:t>
            </w:r>
          </w:p>
        </w:tc>
        <w:tc>
          <w:tcPr>
            <w:tcW w:w="175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4E" w14:textId="77777777" w:rsidR="002C3B80" w:rsidRDefault="008809E6">
            <w:r>
              <w:rPr>
                <w:color w:val="1A1A1A"/>
                <w:sz w:val="15"/>
                <w:szCs w:val="15"/>
              </w:rPr>
              <w:t>~60 million (remainder of the ~75M formal workforce)</w:t>
            </w:r>
          </w:p>
        </w:tc>
        <w:tc>
          <w:tcPr>
            <w:tcW w:w="165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4F" w14:textId="77777777" w:rsidR="002C3B80" w:rsidRDefault="008809E6">
            <w:r>
              <w:rPr>
                <w:color w:val="1A1A1A"/>
                <w:sz w:val="15"/>
                <w:szCs w:val="15"/>
              </w:rPr>
              <w:t>~10%</w:t>
            </w:r>
          </w:p>
        </w:tc>
        <w:tc>
          <w:tcPr>
            <w:tcW w:w="165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50" w14:textId="77777777" w:rsidR="002C3B80" w:rsidRDefault="008809E6">
            <w:r>
              <w:rPr>
                <w:color w:val="1A1A1A"/>
                <w:sz w:val="15"/>
                <w:szCs w:val="15"/>
              </w:rPr>
              <w:t>Part of the 55% services share</w:t>
            </w:r>
          </w:p>
        </w:tc>
        <w:tc>
          <w:tcPr>
            <w:tcW w:w="205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51" w14:textId="77777777" w:rsidR="002C3B80" w:rsidRDefault="008809E6">
            <w:r>
              <w:rPr>
                <w:color w:val="1A1A1A"/>
                <w:sz w:val="15"/>
                <w:szCs w:val="15"/>
              </w:rPr>
              <w:t>Formal, salaried; large public-sector component</w:t>
            </w:r>
          </w:p>
        </w:tc>
        <w:tc>
          <w:tcPr>
            <w:tcW w:w="40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52" w14:textId="77777777" w:rsidR="002C3B80" w:rsidRDefault="008809E6">
            <w:r>
              <w:rPr>
                <w:color w:val="1A1A1A"/>
                <w:sz w:val="15"/>
                <w:szCs w:val="15"/>
              </w:rPr>
              <w:t>Medium — back-office/processing exposed like BPM; public-sector and regulatory roles stickier</w:t>
            </w:r>
          </w:p>
        </w:tc>
      </w:tr>
    </w:tbl>
    <w:p w14:paraId="5279F154" w14:textId="77777777" w:rsidR="002C3B80" w:rsidRDefault="008809E6">
      <w:pPr>
        <w:spacing w:before="200" w:after="90"/>
      </w:pPr>
      <w:r>
        <w:rPr>
          <w:b/>
          <w:bCs/>
          <w:color w:val="13284A"/>
          <w:sz w:val="23"/>
          <w:szCs w:val="23"/>
        </w:rPr>
        <w:t>3.  Three scenarios, redefined for India</w:t>
      </w:r>
    </w:p>
    <w:p w14:paraId="5279F155" w14:textId="77777777" w:rsidR="002C3B80" w:rsidRDefault="008809E6">
      <w:pPr>
        <w:spacing w:after="100"/>
      </w:pPr>
      <w:r>
        <w:rPr>
          <w:color w:val="1A1A1A"/>
          <w:sz w:val="19"/>
          <w:szCs w:val="19"/>
        </w:rPr>
        <w:t xml:space="preserve">The original paper's Modest / Substantial / Extreme labels are kept, but the defining parameters are swapped for ones that mean something in an economy this informal and this </w:t>
      </w:r>
      <w:proofErr w:type="gramStart"/>
      <w:r>
        <w:rPr>
          <w:color w:val="1A1A1A"/>
          <w:sz w:val="19"/>
          <w:szCs w:val="19"/>
        </w:rPr>
        <w:t>labour-abundant</w:t>
      </w:r>
      <w:proofErr w:type="gramEnd"/>
      <w:r>
        <w:rPr>
          <w:color w:val="1A1A1A"/>
          <w:sz w:val="19"/>
          <w:szCs w:val="19"/>
        </w:rPr>
        <w:t>.</w:t>
      </w:r>
    </w:p>
    <w:tbl>
      <w:tblPr>
        <w:tblW w:w="13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3400"/>
        <w:gridCol w:w="3400"/>
        <w:gridCol w:w="3400"/>
      </w:tblGrid>
      <w:tr w:rsidR="002C3B80" w14:paraId="5279F15A" w14:textId="77777777">
        <w:tc>
          <w:tcPr>
            <w:tcW w:w="32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13284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56" w14:textId="77777777" w:rsidR="002C3B80" w:rsidRDefault="008809E6">
            <w:r>
              <w:rPr>
                <w:b/>
                <w:bCs/>
                <w:color w:val="FFFFFF"/>
                <w:sz w:val="17"/>
                <w:szCs w:val="17"/>
              </w:rPr>
              <w:t>Defining parameter</w:t>
            </w:r>
          </w:p>
        </w:tc>
        <w:tc>
          <w:tcPr>
            <w:tcW w:w="34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6B7A3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57" w14:textId="77777777" w:rsidR="002C3B80" w:rsidRDefault="008809E6">
            <w:r>
              <w:rPr>
                <w:b/>
                <w:bCs/>
                <w:color w:val="FFFFFF"/>
                <w:sz w:val="17"/>
                <w:szCs w:val="17"/>
              </w:rPr>
              <w:t>Modest</w:t>
            </w:r>
          </w:p>
        </w:tc>
        <w:tc>
          <w:tcPr>
            <w:tcW w:w="34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B5892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58" w14:textId="77777777" w:rsidR="002C3B80" w:rsidRDefault="008809E6">
            <w:r>
              <w:rPr>
                <w:b/>
                <w:bCs/>
                <w:color w:val="FFFFFF"/>
                <w:sz w:val="17"/>
                <w:szCs w:val="17"/>
              </w:rPr>
              <w:t>Substantial</w:t>
            </w:r>
          </w:p>
        </w:tc>
        <w:tc>
          <w:tcPr>
            <w:tcW w:w="34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9A3B3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59" w14:textId="77777777" w:rsidR="002C3B80" w:rsidRDefault="008809E6">
            <w:r>
              <w:rPr>
                <w:b/>
                <w:bCs/>
                <w:color w:val="FFFFFF"/>
                <w:sz w:val="17"/>
                <w:szCs w:val="17"/>
              </w:rPr>
              <w:t>Extreme</w:t>
            </w:r>
          </w:p>
        </w:tc>
      </w:tr>
      <w:tr w:rsidR="002C3B80" w14:paraId="5279F15F" w14:textId="77777777">
        <w:tc>
          <w:tcPr>
            <w:tcW w:w="32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5B" w14:textId="77777777" w:rsidR="002C3B80" w:rsidRDefault="008809E6">
            <w:r>
              <w:rPr>
                <w:b/>
                <w:bCs/>
                <w:color w:val="1A1A1A"/>
                <w:sz w:val="16"/>
                <w:szCs w:val="16"/>
              </w:rPr>
              <w:t>IT-BPM/GCC headcount trajectory</w:t>
            </w:r>
          </w:p>
        </w:tc>
        <w:tc>
          <w:tcPr>
            <w:tcW w:w="34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5C" w14:textId="77777777" w:rsidR="002C3B80" w:rsidRDefault="008809E6">
            <w:r>
              <w:rPr>
                <w:color w:val="1A1A1A"/>
                <w:sz w:val="15"/>
                <w:szCs w:val="15"/>
              </w:rPr>
              <w:t>Headcount growth keeps decoupling from revenue growth (as in FY26: +6.1% revenue vs +2.3% headcount) but stays positive</w:t>
            </w:r>
          </w:p>
        </w:tc>
        <w:tc>
          <w:tcPr>
            <w:tcW w:w="34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5D" w14:textId="77777777" w:rsidR="002C3B80" w:rsidRDefault="008809E6">
            <w:r>
              <w:rPr>
                <w:color w:val="1A1A1A"/>
                <w:sz w:val="15"/>
                <w:szCs w:val="15"/>
              </w:rPr>
              <w:t xml:space="preserve">Headcount plateaus or mildly declines in the most automatable roles (voice BPO, testing/QA, junior </w:t>
            </w:r>
            <w:r>
              <w:rPr>
                <w:color w:val="1A1A1A"/>
                <w:sz w:val="15"/>
                <w:szCs w:val="15"/>
              </w:rPr>
              <w:lastRenderedPageBreak/>
              <w:t>coding, back office) even as revenue and GCC centre count keep rising</w:t>
            </w:r>
          </w:p>
        </w:tc>
        <w:tc>
          <w:tcPr>
            <w:tcW w:w="34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5E" w14:textId="77777777" w:rsidR="002C3B80" w:rsidRDefault="008809E6">
            <w:r>
              <w:rPr>
                <w:color w:val="1A1A1A"/>
                <w:sz w:val="15"/>
                <w:szCs w:val="15"/>
              </w:rPr>
              <w:lastRenderedPageBreak/>
              <w:t xml:space="preserve">Absolute contraction, roughly the range NITI Aayog's own worst case sketches: tech services </w:t>
            </w:r>
            <w:r>
              <w:rPr>
                <w:color w:val="1A1A1A"/>
                <w:sz w:val="15"/>
                <w:szCs w:val="15"/>
              </w:rPr>
              <w:lastRenderedPageBreak/>
              <w:t>~7.5–8M → ~6M and customer service ~2–2.5M → ~1.8M by 2031</w:t>
            </w:r>
          </w:p>
        </w:tc>
      </w:tr>
      <w:tr w:rsidR="002C3B80" w14:paraId="5279F164" w14:textId="77777777">
        <w:tc>
          <w:tcPr>
            <w:tcW w:w="32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EEF1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60" w14:textId="77777777" w:rsidR="002C3B80" w:rsidRDefault="008809E6">
            <w:r>
              <w:rPr>
                <w:b/>
                <w:bCs/>
                <w:color w:val="1A1A1A"/>
                <w:sz w:val="16"/>
                <w:szCs w:val="16"/>
              </w:rPr>
              <w:lastRenderedPageBreak/>
              <w:t>Task-automation reach inside formal white-collar work</w:t>
            </w:r>
          </w:p>
        </w:tc>
        <w:tc>
          <w:tcPr>
            <w:tcW w:w="34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EEF1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61" w14:textId="77777777" w:rsidR="002C3B80" w:rsidRDefault="008809E6">
            <w:r>
              <w:rPr>
                <w:color w:val="1A1A1A"/>
                <w:sz w:val="15"/>
                <w:szCs w:val="15"/>
              </w:rPr>
              <w:t>AI handles a growing slice of routine drafting, testing and voice-support tasks; complex judgement work stays human</w:t>
            </w:r>
          </w:p>
        </w:tc>
        <w:tc>
          <w:tcPr>
            <w:tcW w:w="34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EEF1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62" w14:textId="77777777" w:rsidR="002C3B80" w:rsidRDefault="008809E6">
            <w:r>
              <w:rPr>
                <w:color w:val="1A1A1A"/>
                <w:sz w:val="15"/>
                <w:szCs w:val="15"/>
              </w:rPr>
              <w:t>AI handles most routine and a meaningful share of intermediate-judgement tasks; teams reorganise around AI oversight (“human + AI”, per NASSCOM)</w:t>
            </w:r>
          </w:p>
        </w:tc>
        <w:tc>
          <w:tcPr>
            <w:tcW w:w="34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EEF1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63" w14:textId="77777777" w:rsidR="002C3B80" w:rsidRDefault="008809E6">
            <w:r>
              <w:rPr>
                <w:color w:val="1A1A1A"/>
                <w:sz w:val="15"/>
                <w:szCs w:val="15"/>
              </w:rPr>
              <w:t>AI handles routine and most intermediate-judgement tasks across BPM/GCC functions; human roles concentrate in strategy, client relationship and exception-handling</w:t>
            </w:r>
          </w:p>
        </w:tc>
      </w:tr>
      <w:tr w:rsidR="002C3B80" w14:paraId="5279F169" w14:textId="77777777">
        <w:tc>
          <w:tcPr>
            <w:tcW w:w="32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65" w14:textId="77777777" w:rsidR="002C3B80" w:rsidRDefault="008809E6">
            <w:r>
              <w:rPr>
                <w:b/>
                <w:bCs/>
                <w:color w:val="1A1A1A"/>
                <w:sz w:val="16"/>
                <w:szCs w:val="16"/>
              </w:rPr>
              <w:t>Absorption given informality (no unemployment insurance)</w:t>
            </w:r>
          </w:p>
        </w:tc>
        <w:tc>
          <w:tcPr>
            <w:tcW w:w="34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66" w14:textId="77777777" w:rsidR="002C3B80" w:rsidRDefault="008809E6">
            <w:r>
              <w:rPr>
                <w:color w:val="1A1A1A"/>
                <w:sz w:val="15"/>
                <w:szCs w:val="15"/>
              </w:rPr>
              <w:t>Displaced formal workers re-enter formal or good gig work within months; little visible wage pressure</w:t>
            </w:r>
          </w:p>
        </w:tc>
        <w:tc>
          <w:tcPr>
            <w:tcW w:w="34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67" w14:textId="77777777" w:rsidR="002C3B80" w:rsidRDefault="008809E6">
            <w:r>
              <w:rPr>
                <w:color w:val="1A1A1A"/>
                <w:sz w:val="15"/>
                <w:szCs w:val="15"/>
              </w:rPr>
              <w:t>Absorption slows; a meaningful share cascade into gig/informal work at lower pay, or extended underemployment</w:t>
            </w:r>
          </w:p>
        </w:tc>
        <w:tc>
          <w:tcPr>
            <w:tcW w:w="34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68" w14:textId="77777777" w:rsidR="002C3B80" w:rsidRDefault="008809E6">
            <w:r>
              <w:rPr>
                <w:color w:val="1A1A1A"/>
                <w:sz w:val="15"/>
                <w:szCs w:val="15"/>
              </w:rPr>
              <w:t>Absorption fails to keep pace; disguised underemployment and downward wage pressure spread from the exposed cohort into adjacent white-collar segments</w:t>
            </w:r>
          </w:p>
        </w:tc>
      </w:tr>
      <w:tr w:rsidR="002C3B80" w14:paraId="5279F16E" w14:textId="77777777">
        <w:tc>
          <w:tcPr>
            <w:tcW w:w="32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EEF1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6A" w14:textId="77777777" w:rsidR="002C3B80" w:rsidRDefault="008809E6">
            <w:r>
              <w:rPr>
                <w:b/>
                <w:bCs/>
                <w:color w:val="1A1A1A"/>
                <w:sz w:val="16"/>
                <w:szCs w:val="16"/>
              </w:rPr>
              <w:t>Productivity spillover beyond the white-collar core</w:t>
            </w:r>
          </w:p>
        </w:tc>
        <w:tc>
          <w:tcPr>
            <w:tcW w:w="34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EEF1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6B" w14:textId="77777777" w:rsidR="002C3B80" w:rsidRDefault="008809E6">
            <w:r>
              <w:rPr>
                <w:color w:val="1A1A1A"/>
                <w:sz w:val="15"/>
                <w:szCs w:val="15"/>
              </w:rPr>
              <w:t>Limited — AI value stays concentrated in IT-BPM/GCC and urban BFSI</w:t>
            </w:r>
          </w:p>
        </w:tc>
        <w:tc>
          <w:tcPr>
            <w:tcW w:w="34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EEF1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6C" w14:textId="77777777" w:rsidR="002C3B80" w:rsidRDefault="008809E6">
            <w:r>
              <w:rPr>
                <w:color w:val="1A1A1A"/>
                <w:sz w:val="15"/>
                <w:szCs w:val="15"/>
              </w:rPr>
              <w:t>AI-enabled advisory and government digital-public-infrastructure channels start lifting agricultural and informal-service productivity too</w:t>
            </w:r>
          </w:p>
        </w:tc>
        <w:tc>
          <w:tcPr>
            <w:tcW w:w="34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EEF1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6D" w14:textId="77777777" w:rsidR="002C3B80" w:rsidRDefault="008809E6">
            <w:r>
              <w:rPr>
                <w:color w:val="1A1A1A"/>
                <w:sz w:val="15"/>
                <w:szCs w:val="15"/>
              </w:rPr>
              <w:t>Spillover is real but arrives more slowly than the white-collar contraction, so aggregate productivity gains and concentrated labour-market stress show up in the same years</w:t>
            </w:r>
          </w:p>
        </w:tc>
      </w:tr>
    </w:tbl>
    <w:p w14:paraId="5279F16F" w14:textId="77777777" w:rsidR="002C3B80" w:rsidRDefault="008809E6">
      <w:pPr>
        <w:spacing w:before="200" w:after="90"/>
      </w:pPr>
      <w:r>
        <w:rPr>
          <w:b/>
          <w:bCs/>
          <w:color w:val="13284A"/>
          <w:sz w:val="23"/>
          <w:szCs w:val="23"/>
        </w:rPr>
        <w:t>4.  Segment-by-segment outcomes under each scenario</w:t>
      </w:r>
    </w:p>
    <w:tbl>
      <w:tblPr>
        <w:tblW w:w="12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300"/>
        <w:gridCol w:w="3300"/>
        <w:gridCol w:w="3300"/>
      </w:tblGrid>
      <w:tr w:rsidR="002C3B80" w14:paraId="5279F174" w14:textId="77777777">
        <w:tc>
          <w:tcPr>
            <w:tcW w:w="26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13284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70" w14:textId="77777777" w:rsidR="002C3B80" w:rsidRDefault="008809E6">
            <w:r>
              <w:rPr>
                <w:b/>
                <w:bCs/>
                <w:color w:val="FFFFFF"/>
                <w:sz w:val="17"/>
                <w:szCs w:val="17"/>
              </w:rPr>
              <w:t>Segment</w:t>
            </w:r>
          </w:p>
        </w:tc>
        <w:tc>
          <w:tcPr>
            <w:tcW w:w="33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6B7A3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71" w14:textId="77777777" w:rsidR="002C3B80" w:rsidRDefault="008809E6">
            <w:r>
              <w:rPr>
                <w:b/>
                <w:bCs/>
                <w:color w:val="FFFFFF"/>
                <w:sz w:val="17"/>
                <w:szCs w:val="17"/>
              </w:rPr>
              <w:t>Modest</w:t>
            </w:r>
          </w:p>
        </w:tc>
        <w:tc>
          <w:tcPr>
            <w:tcW w:w="33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B5892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72" w14:textId="77777777" w:rsidR="002C3B80" w:rsidRDefault="008809E6">
            <w:r>
              <w:rPr>
                <w:b/>
                <w:bCs/>
                <w:color w:val="FFFFFF"/>
                <w:sz w:val="17"/>
                <w:szCs w:val="17"/>
              </w:rPr>
              <w:t>Substantial</w:t>
            </w:r>
          </w:p>
        </w:tc>
        <w:tc>
          <w:tcPr>
            <w:tcW w:w="33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9A3B3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73" w14:textId="77777777" w:rsidR="002C3B80" w:rsidRDefault="008809E6">
            <w:r>
              <w:rPr>
                <w:b/>
                <w:bCs/>
                <w:color w:val="FFFFFF"/>
                <w:sz w:val="17"/>
                <w:szCs w:val="17"/>
              </w:rPr>
              <w:t>Extreme</w:t>
            </w:r>
          </w:p>
        </w:tc>
      </w:tr>
      <w:tr w:rsidR="002C3B80" w14:paraId="5279F179" w14:textId="77777777">
        <w:tc>
          <w:tcPr>
            <w:tcW w:w="26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75" w14:textId="77777777" w:rsidR="002C3B80" w:rsidRDefault="008809E6">
            <w:r>
              <w:rPr>
                <w:b/>
                <w:bCs/>
                <w:color w:val="1A1A1A"/>
                <w:sz w:val="16"/>
                <w:szCs w:val="16"/>
              </w:rPr>
              <w:t>Agriculture</w:t>
            </w:r>
          </w:p>
        </w:tc>
        <w:tc>
          <w:tcPr>
            <w:tcW w:w="33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76" w14:textId="77777777" w:rsidR="002C3B80" w:rsidRDefault="008809E6">
            <w:r>
              <w:rPr>
                <w:color w:val="1A1A1A"/>
                <w:sz w:val="15"/>
                <w:szCs w:val="15"/>
              </w:rPr>
              <w:t xml:space="preserve">AI-enabled advisory (weather, pest, price discovery) reaches a growing minority of farmers via government digital-infrastructure and </w:t>
            </w:r>
            <w:proofErr w:type="spellStart"/>
            <w:r>
              <w:rPr>
                <w:color w:val="1A1A1A"/>
                <w:sz w:val="15"/>
                <w:szCs w:val="15"/>
              </w:rPr>
              <w:t>agri</w:t>
            </w:r>
            <w:proofErr w:type="spellEnd"/>
            <w:r>
              <w:rPr>
                <w:color w:val="1A1A1A"/>
                <w:sz w:val="15"/>
                <w:szCs w:val="15"/>
              </w:rPr>
              <w:t>-tech apps; modest income gains, no displacement — manual labour is still needed.</w:t>
            </w:r>
          </w:p>
        </w:tc>
        <w:tc>
          <w:tcPr>
            <w:tcW w:w="33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77" w14:textId="77777777" w:rsidR="002C3B80" w:rsidRDefault="008809E6">
            <w:r>
              <w:rPr>
                <w:color w:val="1A1A1A"/>
                <w:sz w:val="15"/>
                <w:szCs w:val="15"/>
              </w:rPr>
              <w:t>Advisory tools go mainstream via smartphone penetration; measurable yield and price-realisation gains; some consolidation pressure on the smallest holdings as data-driven farming favours scale, but employment stays broadly stable.</w:t>
            </w:r>
          </w:p>
        </w:tc>
        <w:tc>
          <w:tcPr>
            <w:tcW w:w="33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78" w14:textId="77777777" w:rsidR="002C3B80" w:rsidRDefault="008809E6">
            <w:r>
              <w:rPr>
                <w:color w:val="1A1A1A"/>
                <w:sz w:val="15"/>
                <w:szCs w:val="15"/>
              </w:rPr>
              <w:t>Gains accelerate land consolidation and reduce on-farm labour demand at the margin — but this is driven mainly by mechanization economics, not AI itself. Agriculture is the least AI-sensitive of the five segments in any scenario.</w:t>
            </w:r>
          </w:p>
        </w:tc>
      </w:tr>
      <w:tr w:rsidR="002C3B80" w14:paraId="5279F17E" w14:textId="77777777">
        <w:tc>
          <w:tcPr>
            <w:tcW w:w="26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EEF1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7A" w14:textId="77777777" w:rsidR="002C3B80" w:rsidRDefault="008809E6">
            <w:r>
              <w:rPr>
                <w:b/>
                <w:bCs/>
                <w:color w:val="1A1A1A"/>
                <w:sz w:val="16"/>
                <w:szCs w:val="16"/>
              </w:rPr>
              <w:t>Construction &amp; manufacturing</w:t>
            </w:r>
          </w:p>
        </w:tc>
        <w:tc>
          <w:tcPr>
            <w:tcW w:w="33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EEF1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7B" w14:textId="77777777" w:rsidR="002C3B80" w:rsidRDefault="008809E6">
            <w:r>
              <w:rPr>
                <w:color w:val="1A1A1A"/>
                <w:sz w:val="15"/>
                <w:szCs w:val="15"/>
              </w:rPr>
              <w:t>AI assists design, BIM and project scheduling; minimal effect on on-site labour demand.</w:t>
            </w:r>
          </w:p>
        </w:tc>
        <w:tc>
          <w:tcPr>
            <w:tcW w:w="33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EEF1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7C" w14:textId="77777777" w:rsidR="002C3B80" w:rsidRDefault="008809E6">
            <w:r>
              <w:rPr>
                <w:color w:val="1A1A1A"/>
                <w:sz w:val="15"/>
                <w:szCs w:val="15"/>
              </w:rPr>
              <w:t>AI-enabled design and estimation tools raise developer productivity and compress project timelines; some compression of formal construction-management and engineering headcount, while on-site blue-collar demand is largely unaffected.</w:t>
            </w:r>
          </w:p>
        </w:tc>
        <w:tc>
          <w:tcPr>
            <w:tcW w:w="33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EEF1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7D" w14:textId="77777777" w:rsidR="002C3B80" w:rsidRDefault="008809E6">
            <w:r>
              <w:rPr>
                <w:color w:val="1A1A1A"/>
                <w:sz w:val="15"/>
                <w:szCs w:val="15"/>
              </w:rPr>
              <w:t>Prefab/robotic methods (still nascent in India) begin substituting for on-site labour on large organised-developer projects — concentrated in a handful of national developers, not the broader informal-contractor economy.</w:t>
            </w:r>
          </w:p>
        </w:tc>
      </w:tr>
      <w:tr w:rsidR="002C3B80" w14:paraId="5279F183" w14:textId="77777777">
        <w:tc>
          <w:tcPr>
            <w:tcW w:w="26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7F" w14:textId="77777777" w:rsidR="002C3B80" w:rsidRDefault="008809E6">
            <w:r>
              <w:rPr>
                <w:b/>
                <w:bCs/>
                <w:color w:val="1A1A1A"/>
                <w:sz w:val="16"/>
                <w:szCs w:val="16"/>
              </w:rPr>
              <w:t>Informal blue-collar &amp; platform/gig services</w:t>
            </w:r>
          </w:p>
        </w:tc>
        <w:tc>
          <w:tcPr>
            <w:tcW w:w="33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80" w14:textId="77777777" w:rsidR="002C3B80" w:rsidRDefault="008809E6">
            <w:r>
              <w:rPr>
                <w:color w:val="1A1A1A"/>
                <w:sz w:val="15"/>
                <w:szCs w:val="15"/>
              </w:rPr>
              <w:t>Platform-matching AI improves efficiency and expands addressable demand; the segment continues its already-projected growth path undisturbed.</w:t>
            </w:r>
          </w:p>
        </w:tc>
        <w:tc>
          <w:tcPr>
            <w:tcW w:w="33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81" w14:textId="77777777" w:rsidR="002C3B80" w:rsidRDefault="008809E6">
            <w:r>
              <w:rPr>
                <w:color w:val="1A1A1A"/>
                <w:sz w:val="15"/>
                <w:szCs w:val="15"/>
              </w:rPr>
              <w:t>Growth continues, and this segment increasingly becomes the de facto shock absorber for white-collar workers pushed out elsewhere — an inversion of the US story, where blue-collar work is comparatively AI-resistant; gig wage growth could strengthen even as white-collar wage growth stalls.</w:t>
            </w:r>
          </w:p>
        </w:tc>
        <w:tc>
          <w:tcPr>
            <w:tcW w:w="33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82" w14:textId="77777777" w:rsidR="002C3B80" w:rsidRDefault="008809E6">
            <w:r>
              <w:rPr>
                <w:color w:val="1A1A1A"/>
                <w:sz w:val="15"/>
                <w:szCs w:val="15"/>
              </w:rPr>
              <w:t>Inflow of displaced formal-sector workers outpaces demand growth, compressing average gig earnings even as headline “employment” rises; early automation (autonomous last-mile delivery) begins to bite in dense urban markets.</w:t>
            </w:r>
          </w:p>
        </w:tc>
      </w:tr>
      <w:tr w:rsidR="002C3B80" w14:paraId="5279F188" w14:textId="77777777">
        <w:tc>
          <w:tcPr>
            <w:tcW w:w="26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EEF1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84" w14:textId="77777777" w:rsidR="002C3B80" w:rsidRDefault="008809E6">
            <w:r>
              <w:rPr>
                <w:b/>
                <w:bCs/>
                <w:color w:val="1A1A1A"/>
                <w:sz w:val="16"/>
                <w:szCs w:val="16"/>
              </w:rPr>
              <w:t>Formal white-collar IT-BPM &amp; GCCs</w:t>
            </w:r>
          </w:p>
        </w:tc>
        <w:tc>
          <w:tcPr>
            <w:tcW w:w="33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EEF1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85" w14:textId="77777777" w:rsidR="002C3B80" w:rsidRDefault="008809E6">
            <w:r>
              <w:rPr>
                <w:color w:val="1A1A1A"/>
                <w:sz w:val="15"/>
                <w:szCs w:val="15"/>
              </w:rPr>
              <w:t xml:space="preserve">Headcount growth keeps decoupling from revenue growth roughly as it already </w:t>
            </w:r>
            <w:proofErr w:type="gramStart"/>
            <w:r>
              <w:rPr>
                <w:color w:val="1A1A1A"/>
                <w:sz w:val="15"/>
                <w:szCs w:val="15"/>
              </w:rPr>
              <w:t>has, but</w:t>
            </w:r>
            <w:proofErr w:type="gramEnd"/>
            <w:r>
              <w:rPr>
                <w:color w:val="1A1A1A"/>
                <w:sz w:val="15"/>
                <w:szCs w:val="15"/>
              </w:rPr>
              <w:t xml:space="preserve"> stays positive; entry-level hiring growth slows without reversing; roles shift toward AI-oversight “human + AI” teams.</w:t>
            </w:r>
          </w:p>
        </w:tc>
        <w:tc>
          <w:tcPr>
            <w:tcW w:w="33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EEF1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86" w14:textId="77777777" w:rsidR="002C3B80" w:rsidRDefault="008809E6">
            <w:r>
              <w:rPr>
                <w:color w:val="1A1A1A"/>
                <w:sz w:val="15"/>
                <w:szCs w:val="15"/>
              </w:rPr>
              <w:t xml:space="preserve">Headcount plateaus or mildly declines in the most automatable roles even as revenue and GCC centre-count keep growing. This is where </w:t>
            </w:r>
            <w:proofErr w:type="spellStart"/>
            <w:r>
              <w:rPr>
                <w:color w:val="1A1A1A"/>
                <w:sz w:val="15"/>
                <w:szCs w:val="15"/>
              </w:rPr>
              <w:t>Anarock's</w:t>
            </w:r>
            <w:proofErr w:type="spellEnd"/>
            <w:r>
              <w:rPr>
                <w:color w:val="1A1A1A"/>
                <w:sz w:val="15"/>
                <w:szCs w:val="15"/>
              </w:rPr>
              <w:t xml:space="preserve"> own voice-AI-versus-contact-centre pilot sits — a live instance of the “substantial” case. Graduate hiring growth turns negative for the first time in the sector's history.</w:t>
            </w:r>
          </w:p>
        </w:tc>
        <w:tc>
          <w:tcPr>
            <w:tcW w:w="33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EEF1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87" w14:textId="77777777" w:rsidR="002C3B80" w:rsidRDefault="008809E6">
            <w:r>
              <w:rPr>
                <w:color w:val="1A1A1A"/>
                <w:sz w:val="15"/>
                <w:szCs w:val="15"/>
              </w:rPr>
              <w:t>Absolute headcount contraction in the NITI Aayog worst-case range (tech services ~7.5–8M→~6M, customer service ~2–2.5M→~1.8M by 2031), net of continued GCC hiring in more strategic roles — concentrated more in tier-2/3 BPM hubs than in Bengaluru/Hyderabad GCC clusters.</w:t>
            </w:r>
          </w:p>
        </w:tc>
      </w:tr>
      <w:tr w:rsidR="002C3B80" w14:paraId="5279F18D" w14:textId="77777777">
        <w:tc>
          <w:tcPr>
            <w:tcW w:w="26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89" w14:textId="77777777" w:rsidR="002C3B80" w:rsidRDefault="008809E6">
            <w:proofErr w:type="gramStart"/>
            <w:r>
              <w:rPr>
                <w:b/>
                <w:bCs/>
                <w:color w:val="1A1A1A"/>
                <w:sz w:val="16"/>
                <w:szCs w:val="16"/>
              </w:rPr>
              <w:t>Other</w:t>
            </w:r>
            <w:proofErr w:type="gramEnd"/>
            <w:r>
              <w:rPr>
                <w:b/>
                <w:bCs/>
                <w:color w:val="1A1A1A"/>
                <w:sz w:val="16"/>
                <w:szCs w:val="16"/>
              </w:rPr>
              <w:t xml:space="preserve"> formal services &amp; public sector</w:t>
            </w:r>
          </w:p>
        </w:tc>
        <w:tc>
          <w:tcPr>
            <w:tcW w:w="33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8A" w14:textId="77777777" w:rsidR="002C3B80" w:rsidRDefault="008809E6">
            <w:r>
              <w:rPr>
                <w:color w:val="1A1A1A"/>
                <w:sz w:val="15"/>
                <w:szCs w:val="15"/>
              </w:rPr>
              <w:t>AI adoption in BFSI back office, government service delivery and organised retail proceeds unevenly; gains show up mostly as better service, not headcount reduction — public-sector employment is politically sticky.</w:t>
            </w:r>
          </w:p>
        </w:tc>
        <w:tc>
          <w:tcPr>
            <w:tcW w:w="33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8B" w14:textId="77777777" w:rsidR="002C3B80" w:rsidRDefault="008809E6">
            <w:r>
              <w:rPr>
                <w:color w:val="1A1A1A"/>
                <w:sz w:val="15"/>
                <w:szCs w:val="15"/>
              </w:rPr>
              <w:t>Back-office and processing roles in BFSI/organised retail see BPM-like decoupling of output from headcount; the public sector remains largely insulated by policy choice and becomes a genuine (if slow-growing) source of formal job creation even as private white-collar hiring contracts.</w:t>
            </w:r>
          </w:p>
        </w:tc>
        <w:tc>
          <w:tcPr>
            <w:tcW w:w="3300" w:type="dxa"/>
            <w:tcBorders>
              <w:top w:val="single" w:sz="2" w:space="0" w:color="C9CDD6"/>
              <w:left w:val="single" w:sz="2" w:space="0" w:color="C9CDD6"/>
              <w:bottom w:val="single" w:sz="2" w:space="0" w:color="C9CDD6"/>
              <w:right w:val="single" w:sz="2" w:space="0" w:color="C9CD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9F18C" w14:textId="77777777" w:rsidR="002C3B80" w:rsidRDefault="008809E6">
            <w:r>
              <w:rPr>
                <w:color w:val="1A1A1A"/>
                <w:sz w:val="15"/>
                <w:szCs w:val="15"/>
              </w:rPr>
              <w:t>Fiscal pressure, if IT-BPM/GCC export earnings and the corporate tax base shrink, begins to constrain even public-sector hiring capacity — though outright headcount cuts remain politically unlikely regardless of the AI scenario; the segment's role shifts from shock absorber toward genuine fiscal strain.</w:t>
            </w:r>
          </w:p>
        </w:tc>
      </w:tr>
    </w:tbl>
    <w:p w14:paraId="5279F18E" w14:textId="77777777" w:rsidR="002C3B80" w:rsidRDefault="008809E6">
      <w:pPr>
        <w:spacing w:before="200" w:after="90"/>
      </w:pPr>
      <w:r>
        <w:rPr>
          <w:b/>
          <w:bCs/>
          <w:color w:val="13284A"/>
          <w:sz w:val="23"/>
          <w:szCs w:val="23"/>
        </w:rPr>
        <w:lastRenderedPageBreak/>
        <w:t>5.  Four channels the segment table doesn't show on its own</w:t>
      </w:r>
    </w:p>
    <w:p w14:paraId="5279F18F" w14:textId="77777777" w:rsidR="002C3B80" w:rsidRDefault="008809E6">
      <w:pPr>
        <w:spacing w:after="90"/>
      </w:pPr>
      <w:r>
        <w:rPr>
          <w:b/>
          <w:bCs/>
          <w:color w:val="13284A"/>
          <w:sz w:val="19"/>
          <w:szCs w:val="19"/>
        </w:rPr>
        <w:t xml:space="preserve">The demographic jobs-gap. </w:t>
      </w:r>
      <w:r>
        <w:rPr>
          <w:color w:val="1A1A1A"/>
          <w:sz w:val="19"/>
          <w:szCs w:val="19"/>
        </w:rPr>
        <w:t>India needs several million new non-farm jobs every year just to keep pace with new entrants. If AI compresses IT-BPM/GCC entry-level hiring by even a few hundred thousand jobs a year, that is a material share of the net-new formal job creation the economy needs — concentrated in exactly the cohort (English-educated urban graduates) with the least alternative absorption capacity.</w:t>
      </w:r>
    </w:p>
    <w:p w14:paraId="5279F190" w14:textId="77777777" w:rsidR="002C3B80" w:rsidRDefault="008809E6">
      <w:pPr>
        <w:spacing w:after="90"/>
      </w:pPr>
      <w:r>
        <w:rPr>
          <w:b/>
          <w:bCs/>
          <w:color w:val="13284A"/>
          <w:sz w:val="19"/>
          <w:szCs w:val="19"/>
        </w:rPr>
        <w:t xml:space="preserve">The measurement problem. </w:t>
      </w:r>
      <w:r>
        <w:rPr>
          <w:color w:val="1A1A1A"/>
          <w:sz w:val="19"/>
          <w:szCs w:val="19"/>
        </w:rPr>
        <w:t>This will not show up as a clean rise in the unemployment rate the way it would in the US model. The signals to watch instead are IT-BPM/GCC entry-level hiring volumes, real wage growth in urban salaried cognitive roles versus informal/gig wage growth, and the share of engineering and commerce graduates who go informal or underemployed within a year of graduating.</w:t>
      </w:r>
    </w:p>
    <w:p w14:paraId="5279F191" w14:textId="77777777" w:rsidR="002C3B80" w:rsidRDefault="008809E6">
      <w:pPr>
        <w:spacing w:after="90"/>
      </w:pPr>
      <w:r>
        <w:rPr>
          <w:b/>
          <w:bCs/>
          <w:color w:val="13284A"/>
          <w:sz w:val="19"/>
          <w:szCs w:val="19"/>
        </w:rPr>
        <w:t xml:space="preserve">The export and current-account channel. </w:t>
      </w:r>
      <w:r>
        <w:rPr>
          <w:color w:val="1A1A1A"/>
          <w:sz w:val="19"/>
          <w:szCs w:val="19"/>
        </w:rPr>
        <w:t>IT-BPM and GCCs together book well over $300 billion in combined revenue and are among India's largest net foreign-exchange earners. A substantial-to-extreme contraction in this segment's competitiveness — especially if global clients capture the AI productivity gains themselves rather than routing more work to India — would show up in the rupee and the current account, a channel with no real analogue in the US paper.</w:t>
      </w:r>
    </w:p>
    <w:p w14:paraId="5279F194" w14:textId="3AA7D368" w:rsidR="002C3B80" w:rsidRDefault="008809E6" w:rsidP="00447807">
      <w:pPr>
        <w:spacing w:after="90"/>
      </w:pPr>
      <w:r>
        <w:rPr>
          <w:b/>
          <w:bCs/>
          <w:color w:val="13284A"/>
          <w:sz w:val="19"/>
          <w:szCs w:val="19"/>
        </w:rPr>
        <w:t xml:space="preserve">The political economy of the urban middle class. </w:t>
      </w:r>
      <w:r>
        <w:rPr>
          <w:color w:val="1A1A1A"/>
          <w:sz w:val="19"/>
          <w:szCs w:val="19"/>
        </w:rPr>
        <w:t>The cohort the IT-BPM boom created is a small share of India's population but a disproportionate share of tax revenue, formal consumption, and political voice. Stress here is felt first and most visibly in India's cities and in demand for the categories Anarock tracks — well before it would ever register in national accounts.</w:t>
      </w:r>
    </w:p>
    <w:p w14:paraId="5279F195" w14:textId="0ACCEDFC" w:rsidR="002C3B80" w:rsidRDefault="00447807">
      <w:pPr>
        <w:spacing w:before="200" w:after="90"/>
      </w:pPr>
      <w:r>
        <w:rPr>
          <w:b/>
          <w:bCs/>
          <w:color w:val="13284A"/>
          <w:sz w:val="23"/>
          <w:szCs w:val="23"/>
        </w:rPr>
        <w:t>6</w:t>
      </w:r>
      <w:r w:rsidR="008809E6">
        <w:rPr>
          <w:b/>
          <w:bCs/>
          <w:color w:val="13284A"/>
          <w:sz w:val="23"/>
          <w:szCs w:val="23"/>
        </w:rPr>
        <w:t>.  Methodology and caveats</w:t>
      </w:r>
    </w:p>
    <w:p w14:paraId="5279F196" w14:textId="77777777" w:rsidR="002C3B80" w:rsidRDefault="008809E6">
      <w:pPr>
        <w:spacing w:after="20"/>
      </w:pPr>
      <w:r>
        <w:rPr>
          <w:i/>
          <w:iCs/>
          <w:color w:val="555555"/>
          <w:sz w:val="17"/>
          <w:szCs w:val="17"/>
        </w:rPr>
        <w:t xml:space="preserve">This is a directional synthesis built from public data (PLFS, </w:t>
      </w:r>
      <w:proofErr w:type="spellStart"/>
      <w:r>
        <w:rPr>
          <w:i/>
          <w:iCs/>
          <w:color w:val="555555"/>
          <w:sz w:val="17"/>
          <w:szCs w:val="17"/>
        </w:rPr>
        <w:t>MoSPI</w:t>
      </w:r>
      <w:proofErr w:type="spellEnd"/>
      <w:r>
        <w:rPr>
          <w:i/>
          <w:iCs/>
          <w:color w:val="555555"/>
          <w:sz w:val="17"/>
          <w:szCs w:val="17"/>
        </w:rPr>
        <w:t>, NASSCOM/</w:t>
      </w:r>
      <w:proofErr w:type="spellStart"/>
      <w:r>
        <w:rPr>
          <w:i/>
          <w:iCs/>
          <w:color w:val="555555"/>
          <w:sz w:val="17"/>
          <w:szCs w:val="17"/>
        </w:rPr>
        <w:t>Zinnov</w:t>
      </w:r>
      <w:proofErr w:type="spellEnd"/>
      <w:r>
        <w:rPr>
          <w:i/>
          <w:iCs/>
          <w:color w:val="555555"/>
          <w:sz w:val="17"/>
          <w:szCs w:val="17"/>
        </w:rPr>
        <w:t>, NITI Aayog, IBEF), not a calibrated economic model. Unlike the source paper, there is no underlying growth model with estimated capital/labour substitution elasticities, and no fielded survey of Indian respondents' own AI expectations (the original relied on a 10,980-person Morning Consult survey purpose-built for that model). A genuine India-calibrated version of this exercise would need a CGE-style or growth-model build tuned to Indian national accounts, a comparable India survey, and segment-specific substitution elasticities — a materially larger undertaking than this document, but a well-scoped next step if useful.</w:t>
      </w:r>
    </w:p>
    <w:sectPr w:rsidR="002C3B80">
      <w:pgSz w:w="15840" w:h="12240" w:orient="landscape"/>
      <w:pgMar w:top="700" w:right="650" w:bottom="700" w:left="6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0638E" w14:textId="77777777" w:rsidR="00990135" w:rsidRDefault="00990135">
      <w:r>
        <w:separator/>
      </w:r>
    </w:p>
  </w:endnote>
  <w:endnote w:type="continuationSeparator" w:id="0">
    <w:p w14:paraId="56FE0F08" w14:textId="77777777" w:rsidR="00990135" w:rsidRDefault="00990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005B5" w14:textId="77777777" w:rsidR="00990135" w:rsidRDefault="00990135">
      <w:r>
        <w:separator/>
      </w:r>
    </w:p>
  </w:footnote>
  <w:footnote w:type="continuationSeparator" w:id="0">
    <w:p w14:paraId="4AA0A41A" w14:textId="77777777" w:rsidR="00990135" w:rsidRDefault="00990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43FE8"/>
    <w:multiLevelType w:val="hybridMultilevel"/>
    <w:tmpl w:val="CC1E21D6"/>
    <w:lvl w:ilvl="0" w:tplc="85602FFC">
      <w:start w:val="1"/>
      <w:numFmt w:val="bullet"/>
      <w:lvlText w:val="●"/>
      <w:lvlJc w:val="left"/>
      <w:pPr>
        <w:ind w:left="720" w:hanging="360"/>
      </w:pPr>
    </w:lvl>
    <w:lvl w:ilvl="1" w:tplc="5E7ACB02">
      <w:start w:val="1"/>
      <w:numFmt w:val="bullet"/>
      <w:lvlText w:val="○"/>
      <w:lvlJc w:val="left"/>
      <w:pPr>
        <w:ind w:left="1440" w:hanging="360"/>
      </w:pPr>
    </w:lvl>
    <w:lvl w:ilvl="2" w:tplc="9B92B502">
      <w:start w:val="1"/>
      <w:numFmt w:val="bullet"/>
      <w:lvlText w:val="■"/>
      <w:lvlJc w:val="left"/>
      <w:pPr>
        <w:ind w:left="2160" w:hanging="360"/>
      </w:pPr>
    </w:lvl>
    <w:lvl w:ilvl="3" w:tplc="BD12D1E6">
      <w:start w:val="1"/>
      <w:numFmt w:val="bullet"/>
      <w:lvlText w:val="●"/>
      <w:lvlJc w:val="left"/>
      <w:pPr>
        <w:ind w:left="2880" w:hanging="360"/>
      </w:pPr>
    </w:lvl>
    <w:lvl w:ilvl="4" w:tplc="099616A8">
      <w:start w:val="1"/>
      <w:numFmt w:val="bullet"/>
      <w:lvlText w:val="○"/>
      <w:lvlJc w:val="left"/>
      <w:pPr>
        <w:ind w:left="3600" w:hanging="360"/>
      </w:pPr>
    </w:lvl>
    <w:lvl w:ilvl="5" w:tplc="715C6964">
      <w:start w:val="1"/>
      <w:numFmt w:val="bullet"/>
      <w:lvlText w:val="■"/>
      <w:lvlJc w:val="left"/>
      <w:pPr>
        <w:ind w:left="4320" w:hanging="360"/>
      </w:pPr>
    </w:lvl>
    <w:lvl w:ilvl="6" w:tplc="AE3A609A">
      <w:start w:val="1"/>
      <w:numFmt w:val="bullet"/>
      <w:lvlText w:val="●"/>
      <w:lvlJc w:val="left"/>
      <w:pPr>
        <w:ind w:left="5040" w:hanging="360"/>
      </w:pPr>
    </w:lvl>
    <w:lvl w:ilvl="7" w:tplc="5352CCC4">
      <w:start w:val="1"/>
      <w:numFmt w:val="bullet"/>
      <w:lvlText w:val="●"/>
      <w:lvlJc w:val="left"/>
      <w:pPr>
        <w:ind w:left="5760" w:hanging="360"/>
      </w:pPr>
    </w:lvl>
    <w:lvl w:ilvl="8" w:tplc="17265B92">
      <w:start w:val="1"/>
      <w:numFmt w:val="bullet"/>
      <w:lvlText w:val="●"/>
      <w:lvlJc w:val="left"/>
      <w:pPr>
        <w:ind w:left="6480" w:hanging="360"/>
      </w:pPr>
    </w:lvl>
  </w:abstractNum>
  <w:num w:numId="1" w16cid:durableId="128569148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B80"/>
    <w:rsid w:val="002C3B80"/>
    <w:rsid w:val="00447807"/>
    <w:rsid w:val="00484325"/>
    <w:rsid w:val="008809E6"/>
    <w:rsid w:val="00990135"/>
    <w:rsid w:val="00E8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9F124"/>
  <w15:docId w15:val="{7F1646F4-53CB-4157-8D3A-09FAD14D6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806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06F3"/>
  </w:style>
  <w:style w:type="paragraph" w:styleId="Footer">
    <w:name w:val="footer"/>
    <w:basedOn w:val="Normal"/>
    <w:link w:val="FooterChar"/>
    <w:uiPriority w:val="99"/>
    <w:unhideWhenUsed/>
    <w:rsid w:val="00E806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06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1722</Words>
  <Characters>9819</Characters>
  <Application>Microsoft Office Word</Application>
  <DocSecurity>0</DocSecurity>
  <Lines>81</Lines>
  <Paragraphs>23</Paragraphs>
  <ScaleCrop>false</ScaleCrop>
  <Company/>
  <LinksUpToDate>false</LinksUpToDate>
  <CharactersWithSpaces>11518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Sunil Mishra</cp:lastModifiedBy>
  <cp:revision>3</cp:revision>
  <dcterms:created xsi:type="dcterms:W3CDTF">2026-09-20T09:29:00Z</dcterms:created>
  <dcterms:modified xsi:type="dcterms:W3CDTF">2026-09-20T13:00:00Z</dcterms:modified>
</cp:coreProperties>
</file>