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DE11E" w14:textId="77777777" w:rsidR="009B3A95" w:rsidRDefault="00A13277">
      <w:pPr>
        <w:spacing w:after="40"/>
      </w:pPr>
      <w:r>
        <w:rPr>
          <w:b/>
          <w:bCs/>
          <w:color w:val="13284A"/>
          <w:sz w:val="30"/>
          <w:szCs w:val="30"/>
        </w:rPr>
        <w:t>Economic Scenarios for Transformative AI</w:t>
      </w:r>
    </w:p>
    <w:p w14:paraId="496DE11F" w14:textId="77777777" w:rsidR="009B3A95" w:rsidRDefault="00A13277">
      <w:pPr>
        <w:spacing w:after="140"/>
      </w:pPr>
      <w:r>
        <w:rPr>
          <w:i/>
          <w:iCs/>
          <w:color w:val="555555"/>
          <w:sz w:val="19"/>
          <w:szCs w:val="19"/>
        </w:rPr>
        <w:t>Summary of The Anthropic Institute Working Paper No. 2026-02 (Korinek, Jones, Sacher, Cotter &amp; McCrory; September 2026)</w:t>
      </w:r>
    </w:p>
    <w:p w14:paraId="496DE120" w14:textId="77777777" w:rsidR="009B3A95" w:rsidRDefault="00A13277">
      <w:pPr>
        <w:spacing w:after="60"/>
      </w:pPr>
      <w:r>
        <w:rPr>
          <w:b/>
          <w:bCs/>
          <w:color w:val="13284A"/>
          <w:sz w:val="22"/>
          <w:szCs w:val="22"/>
        </w:rPr>
        <w:t>1.  What the paper does</w:t>
      </w:r>
    </w:p>
    <w:p w14:paraId="496DE121" w14:textId="77777777" w:rsidR="009B3A95" w:rsidRDefault="00A13277">
      <w:pPr>
        <w:spacing w:after="140"/>
      </w:pPr>
      <w:r>
        <w:rPr>
          <w:color w:val="1A1A1A"/>
        </w:rPr>
        <w:t>The paper builds a single economic model that converts a handful of assumptions about AI — how much of the economy's cognitive work it can do, how widely it is adopted, how large the productivity gain per task is, and how much it automates versus merely assists workers — into implied paths for GDP, wages, the labor share, job reallocation, and unemployment through 2030. It is explicitly not a forecast: the authors define three illustrative scenarios (modest, substantial, extreme change) plus a scenario buil</w:t>
      </w:r>
      <w:r>
        <w:rPr>
          <w:color w:val="1A1A1A"/>
        </w:rPr>
        <w:t>t from a representative survey of US adults, and let readers compare what different beliefs about AI would imply for the economy. A companion “scenario explorer” lets anyone re-run the model with their own assumptions.</w:t>
      </w:r>
    </w:p>
    <w:p w14:paraId="496DE122" w14:textId="77777777" w:rsidR="009B3A95" w:rsidRDefault="00A13277">
      <w:pPr>
        <w:spacing w:after="60"/>
      </w:pPr>
      <w:r>
        <w:rPr>
          <w:b/>
          <w:bCs/>
          <w:color w:val="13284A"/>
          <w:sz w:val="22"/>
          <w:szCs w:val="22"/>
        </w:rPr>
        <w:t>2.  How the model works, in brief</w:t>
      </w:r>
    </w:p>
    <w:p w14:paraId="496DE123" w14:textId="77777777" w:rsidR="009B3A95" w:rsidRDefault="00A13277">
      <w:pPr>
        <w:spacing w:after="140"/>
      </w:pPr>
      <w:r>
        <w:rPr>
          <w:color w:val="1A1A1A"/>
        </w:rPr>
        <w:t>Workers sit in “cognitive” occupations (management, professional, sales, office — 62% of US employment) or “all other” occupations, which AI does not directly touch. As AI automates or augments cognitive tasks, productivity rises, but demand for cognitive labor falls — showing up as some mix of lower relative wages and displaced workers who must search for jobs elsewhere, a transition slowed by real-world search-and-matching frictions. Productivity gains that outpace wage growth shift income toward capital.</w:t>
      </w:r>
      <w:r>
        <w:rPr>
          <w:color w:val="1A1A1A"/>
        </w:rPr>
        <w:t xml:space="preserve"> AI also modestly speeds up the discovery of new ideas, but the paper finds this growth channel is small through 2030 regardless of scenario.</w:t>
      </w:r>
    </w:p>
    <w:p w14:paraId="496DE124" w14:textId="77777777" w:rsidR="009B3A95" w:rsidRDefault="00A13277">
      <w:pPr>
        <w:spacing w:after="60"/>
      </w:pPr>
      <w:r>
        <w:rPr>
          <w:b/>
          <w:bCs/>
          <w:color w:val="13284A"/>
          <w:sz w:val="22"/>
          <w:szCs w:val="22"/>
        </w:rPr>
        <w:t>3.  The three scenarios in 2030</w:t>
      </w:r>
    </w:p>
    <w:p w14:paraId="496DE125" w14:textId="77777777" w:rsidR="009B3A95" w:rsidRDefault="00A13277">
      <w:pPr>
        <w:spacing w:after="100"/>
      </w:pPr>
      <w:r>
        <w:rPr>
          <w:color w:val="1A1A1A"/>
          <w:sz w:val="19"/>
          <w:szCs w:val="19"/>
        </w:rPr>
        <w:t>Modest, substantial and extreme differ in how much of the economy's tasks AI can do by 2030 (20% / 30% / 50%), how widely it is diffused (20% / 40% / 60%), the productivity gain per affected task (~35% / ~57% / ~120%), and how much of that is automation vs. augmentation (50% / 75% / 90% automated). All three start from the same mid-2026 reading of AI use; the paths diverge almost entirely after 2027. The authors benchmark each against published forecasts: modest sits just above Acemoglu (2025) and OECD esti</w:t>
      </w:r>
      <w:r>
        <w:rPr>
          <w:color w:val="1A1A1A"/>
          <w:sz w:val="19"/>
          <w:szCs w:val="19"/>
        </w:rPr>
        <w:t>mates; substantial matches the ~1.5-point productivity-growth forecasts that circulated from Goldman Sachs, McKinsey and the Penn Wharton Budget Model in 2023; extreme is benchmarked against the AGI-driven growth-acceleration literature (Korinek 2023, AI 2027).</w:t>
      </w:r>
    </w:p>
    <w:tbl>
      <w:tblPr>
        <w:tblW w:w="10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00"/>
        <w:gridCol w:w="1750"/>
        <w:gridCol w:w="1750"/>
        <w:gridCol w:w="1750"/>
        <w:gridCol w:w="1750"/>
      </w:tblGrid>
      <w:tr w:rsidR="009B3A95" w14:paraId="496DE12B" w14:textId="77777777">
        <w:tblPrEx>
          <w:tblCellMar>
            <w:top w:w="0" w:type="dxa"/>
            <w:bottom w:w="0" w:type="dxa"/>
          </w:tblCellMar>
        </w:tblPrEx>
        <w:tc>
          <w:tcPr>
            <w:tcW w:w="3900" w:type="dxa"/>
            <w:tcBorders>
              <w:top w:val="single" w:sz="2" w:space="0" w:color="C9CDD6"/>
              <w:left w:val="single" w:sz="2" w:space="0" w:color="C9CDD6"/>
              <w:bottom w:val="single" w:sz="2" w:space="0" w:color="C9CDD6"/>
              <w:right w:val="single" w:sz="2" w:space="0" w:color="C9CDD6"/>
            </w:tcBorders>
            <w:shd w:val="clear" w:color="auto" w:fill="13284A"/>
            <w:tcMar>
              <w:top w:w="45" w:type="dxa"/>
              <w:left w:w="90" w:type="dxa"/>
              <w:bottom w:w="45" w:type="dxa"/>
              <w:right w:w="90" w:type="dxa"/>
            </w:tcMar>
            <w:vAlign w:val="center"/>
          </w:tcPr>
          <w:p w14:paraId="496DE126" w14:textId="77777777" w:rsidR="009B3A95" w:rsidRDefault="00A13277">
            <w:pPr>
              <w:jc w:val="center"/>
            </w:pPr>
            <w:r>
              <w:rPr>
                <w:b/>
                <w:bCs/>
                <w:color w:val="FFFFFF"/>
                <w:sz w:val="17"/>
                <w:szCs w:val="17"/>
              </w:rPr>
              <w:t>2030 outcome (vs. no-AI path unless noted)</w:t>
            </w:r>
          </w:p>
        </w:tc>
        <w:tc>
          <w:tcPr>
            <w:tcW w:w="1750" w:type="dxa"/>
            <w:tcBorders>
              <w:top w:val="single" w:sz="2" w:space="0" w:color="C9CDD6"/>
              <w:left w:val="single" w:sz="2" w:space="0" w:color="C9CDD6"/>
              <w:bottom w:val="single" w:sz="2" w:space="0" w:color="C9CDD6"/>
              <w:right w:val="single" w:sz="2" w:space="0" w:color="C9CDD6"/>
            </w:tcBorders>
            <w:shd w:val="clear" w:color="auto" w:fill="13284A"/>
            <w:tcMar>
              <w:top w:w="45" w:type="dxa"/>
              <w:left w:w="90" w:type="dxa"/>
              <w:bottom w:w="45" w:type="dxa"/>
              <w:right w:w="90" w:type="dxa"/>
            </w:tcMar>
            <w:vAlign w:val="center"/>
          </w:tcPr>
          <w:p w14:paraId="496DE127" w14:textId="77777777" w:rsidR="009B3A95" w:rsidRDefault="00A13277">
            <w:pPr>
              <w:jc w:val="center"/>
            </w:pPr>
            <w:r>
              <w:rPr>
                <w:b/>
                <w:bCs/>
                <w:color w:val="FFFFFF"/>
                <w:sz w:val="17"/>
                <w:szCs w:val="17"/>
              </w:rPr>
              <w:t>Modest</w:t>
            </w:r>
          </w:p>
        </w:tc>
        <w:tc>
          <w:tcPr>
            <w:tcW w:w="1750" w:type="dxa"/>
            <w:tcBorders>
              <w:top w:val="single" w:sz="2" w:space="0" w:color="C9CDD6"/>
              <w:left w:val="single" w:sz="2" w:space="0" w:color="C9CDD6"/>
              <w:bottom w:val="single" w:sz="2" w:space="0" w:color="C9CDD6"/>
              <w:right w:val="single" w:sz="2" w:space="0" w:color="C9CDD6"/>
            </w:tcBorders>
            <w:shd w:val="clear" w:color="auto" w:fill="13284A"/>
            <w:tcMar>
              <w:top w:w="45" w:type="dxa"/>
              <w:left w:w="90" w:type="dxa"/>
              <w:bottom w:w="45" w:type="dxa"/>
              <w:right w:w="90" w:type="dxa"/>
            </w:tcMar>
            <w:vAlign w:val="center"/>
          </w:tcPr>
          <w:p w14:paraId="496DE128" w14:textId="77777777" w:rsidR="009B3A95" w:rsidRDefault="00A13277">
            <w:pPr>
              <w:jc w:val="center"/>
            </w:pPr>
            <w:r>
              <w:rPr>
                <w:b/>
                <w:bCs/>
                <w:color w:val="FFFFFF"/>
                <w:sz w:val="17"/>
                <w:szCs w:val="17"/>
              </w:rPr>
              <w:t>Substantial</w:t>
            </w:r>
          </w:p>
        </w:tc>
        <w:tc>
          <w:tcPr>
            <w:tcW w:w="1750" w:type="dxa"/>
            <w:tcBorders>
              <w:top w:val="single" w:sz="2" w:space="0" w:color="C9CDD6"/>
              <w:left w:val="single" w:sz="2" w:space="0" w:color="C9CDD6"/>
              <w:bottom w:val="single" w:sz="2" w:space="0" w:color="C9CDD6"/>
              <w:right w:val="single" w:sz="2" w:space="0" w:color="C9CDD6"/>
            </w:tcBorders>
            <w:shd w:val="clear" w:color="auto" w:fill="13284A"/>
            <w:tcMar>
              <w:top w:w="45" w:type="dxa"/>
              <w:left w:w="90" w:type="dxa"/>
              <w:bottom w:w="45" w:type="dxa"/>
              <w:right w:w="90" w:type="dxa"/>
            </w:tcMar>
            <w:vAlign w:val="center"/>
          </w:tcPr>
          <w:p w14:paraId="496DE129" w14:textId="77777777" w:rsidR="009B3A95" w:rsidRDefault="00A13277">
            <w:pPr>
              <w:jc w:val="center"/>
            </w:pPr>
            <w:r>
              <w:rPr>
                <w:b/>
                <w:bCs/>
                <w:color w:val="FFFFFF"/>
                <w:sz w:val="17"/>
                <w:szCs w:val="17"/>
              </w:rPr>
              <w:t>Extreme</w:t>
            </w:r>
          </w:p>
        </w:tc>
        <w:tc>
          <w:tcPr>
            <w:tcW w:w="1750" w:type="dxa"/>
            <w:tcBorders>
              <w:top w:val="single" w:sz="2" w:space="0" w:color="C9CDD6"/>
              <w:left w:val="single" w:sz="2" w:space="0" w:color="C9CDD6"/>
              <w:bottom w:val="single" w:sz="2" w:space="0" w:color="C9CDD6"/>
              <w:right w:val="single" w:sz="2" w:space="0" w:color="C9CDD6"/>
            </w:tcBorders>
            <w:shd w:val="clear" w:color="auto" w:fill="13284A"/>
            <w:tcMar>
              <w:top w:w="45" w:type="dxa"/>
              <w:left w:w="90" w:type="dxa"/>
              <w:bottom w:w="45" w:type="dxa"/>
              <w:right w:w="90" w:type="dxa"/>
            </w:tcMar>
            <w:vAlign w:val="center"/>
          </w:tcPr>
          <w:p w14:paraId="496DE12A" w14:textId="77777777" w:rsidR="009B3A95" w:rsidRDefault="00A13277">
            <w:pPr>
              <w:jc w:val="center"/>
            </w:pPr>
            <w:r>
              <w:rPr>
                <w:b/>
                <w:bCs/>
                <w:color w:val="FFFFFF"/>
                <w:sz w:val="17"/>
                <w:szCs w:val="17"/>
              </w:rPr>
              <w:t>Survey median*</w:t>
            </w:r>
          </w:p>
        </w:tc>
      </w:tr>
      <w:tr w:rsidR="009B3A95" w14:paraId="496DE12D" w14:textId="77777777">
        <w:tblPrEx>
          <w:tblCellMar>
            <w:top w:w="0" w:type="dxa"/>
            <w:bottom w:w="0" w:type="dxa"/>
          </w:tblCellMar>
        </w:tblPrEx>
        <w:tc>
          <w:tcPr>
            <w:tcW w:w="10900" w:type="dxa"/>
            <w:gridSpan w:val="5"/>
            <w:tcBorders>
              <w:top w:val="single" w:sz="2" w:space="0" w:color="C9CDD6"/>
              <w:left w:val="single" w:sz="2" w:space="0" w:color="C9CDD6"/>
              <w:bottom w:val="single" w:sz="2" w:space="0" w:color="C9CDD6"/>
              <w:right w:val="single" w:sz="2" w:space="0" w:color="C9CDD6"/>
            </w:tcBorders>
            <w:shd w:val="clear" w:color="auto" w:fill="DCE3F0"/>
            <w:tcMar>
              <w:top w:w="45" w:type="dxa"/>
              <w:left w:w="90" w:type="dxa"/>
              <w:bottom w:w="45" w:type="dxa"/>
              <w:right w:w="90" w:type="dxa"/>
            </w:tcMar>
            <w:vAlign w:val="center"/>
          </w:tcPr>
          <w:p w14:paraId="496DE12C" w14:textId="77777777" w:rsidR="009B3A95" w:rsidRDefault="00A13277">
            <w:r>
              <w:rPr>
                <w:b/>
                <w:bCs/>
                <w:color w:val="13284A"/>
                <w:sz w:val="16"/>
                <w:szCs w:val="16"/>
              </w:rPr>
              <w:t>Output</w:t>
            </w:r>
          </w:p>
        </w:tc>
      </w:tr>
      <w:tr w:rsidR="009B3A95" w14:paraId="496DE133" w14:textId="77777777">
        <w:tblPrEx>
          <w:tblCellMar>
            <w:top w:w="0" w:type="dxa"/>
            <w:bottom w:w="0" w:type="dxa"/>
          </w:tblCellMar>
        </w:tblPrEx>
        <w:tc>
          <w:tcPr>
            <w:tcW w:w="390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2E" w14:textId="77777777" w:rsidR="009B3A95" w:rsidRDefault="00A13277">
            <w:r>
              <w:rPr>
                <w:color w:val="1A1A1A"/>
                <w:sz w:val="16"/>
                <w:szCs w:val="16"/>
              </w:rPr>
              <w:t>GDP, % above no-AI path</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2F" w14:textId="77777777" w:rsidR="009B3A95" w:rsidRDefault="00A13277">
            <w:pPr>
              <w:jc w:val="center"/>
            </w:pPr>
            <w:r>
              <w:rPr>
                <w:color w:val="1A1A1A"/>
                <w:sz w:val="16"/>
                <w:szCs w:val="16"/>
              </w:rPr>
              <w:t>+1.6%</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30" w14:textId="77777777" w:rsidR="009B3A95" w:rsidRDefault="00A13277">
            <w:pPr>
              <w:jc w:val="center"/>
            </w:pPr>
            <w:r>
              <w:rPr>
                <w:color w:val="1A1A1A"/>
                <w:sz w:val="16"/>
                <w:szCs w:val="16"/>
              </w:rPr>
              <w:t>+8.3%</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31" w14:textId="77777777" w:rsidR="009B3A95" w:rsidRDefault="00A13277">
            <w:pPr>
              <w:jc w:val="center"/>
            </w:pPr>
            <w:r>
              <w:rPr>
                <w:color w:val="1A1A1A"/>
                <w:sz w:val="16"/>
                <w:szCs w:val="16"/>
              </w:rPr>
              <w:t>+32.4%</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32" w14:textId="77777777" w:rsidR="009B3A95" w:rsidRDefault="00A13277">
            <w:pPr>
              <w:jc w:val="center"/>
            </w:pPr>
            <w:r>
              <w:rPr>
                <w:color w:val="1A1A1A"/>
                <w:sz w:val="16"/>
                <w:szCs w:val="16"/>
              </w:rPr>
              <w:t>+8.6%</w:t>
            </w:r>
          </w:p>
        </w:tc>
      </w:tr>
      <w:tr w:rsidR="009B3A95" w14:paraId="496DE139" w14:textId="77777777">
        <w:tblPrEx>
          <w:tblCellMar>
            <w:top w:w="0" w:type="dxa"/>
            <w:bottom w:w="0" w:type="dxa"/>
          </w:tblCellMar>
        </w:tblPrEx>
        <w:tc>
          <w:tcPr>
            <w:tcW w:w="390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34" w14:textId="77777777" w:rsidR="009B3A95" w:rsidRDefault="00A13277">
            <w:r>
              <w:rPr>
                <w:color w:val="1A1A1A"/>
                <w:sz w:val="16"/>
                <w:szCs w:val="16"/>
              </w:rPr>
              <w:t>GDP growth, % per year (2% w/o AI)</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35" w14:textId="77777777" w:rsidR="009B3A95" w:rsidRDefault="00A13277">
            <w:pPr>
              <w:jc w:val="center"/>
            </w:pPr>
            <w:r>
              <w:rPr>
                <w:color w:val="1A1A1A"/>
                <w:sz w:val="16"/>
                <w:szCs w:val="16"/>
              </w:rPr>
              <w:t>2.4%</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36" w14:textId="77777777" w:rsidR="009B3A95" w:rsidRDefault="00A13277">
            <w:pPr>
              <w:jc w:val="center"/>
            </w:pPr>
            <w:r>
              <w:rPr>
                <w:color w:val="1A1A1A"/>
                <w:sz w:val="16"/>
                <w:szCs w:val="16"/>
              </w:rPr>
              <w:t>5.4%</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37" w14:textId="77777777" w:rsidR="009B3A95" w:rsidRDefault="00A13277">
            <w:pPr>
              <w:jc w:val="center"/>
            </w:pPr>
            <w:r>
              <w:rPr>
                <w:color w:val="1A1A1A"/>
                <w:sz w:val="16"/>
                <w:szCs w:val="16"/>
              </w:rPr>
              <w:t>15.4%</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38" w14:textId="77777777" w:rsidR="009B3A95" w:rsidRDefault="00A13277">
            <w:pPr>
              <w:jc w:val="center"/>
            </w:pPr>
            <w:r>
              <w:rPr>
                <w:color w:val="1A1A1A"/>
                <w:sz w:val="16"/>
                <w:szCs w:val="16"/>
              </w:rPr>
              <w:t>5.3%</w:t>
            </w:r>
          </w:p>
        </w:tc>
      </w:tr>
      <w:tr w:rsidR="009B3A95" w14:paraId="496DE13B" w14:textId="77777777">
        <w:tblPrEx>
          <w:tblCellMar>
            <w:top w:w="0" w:type="dxa"/>
            <w:bottom w:w="0" w:type="dxa"/>
          </w:tblCellMar>
        </w:tblPrEx>
        <w:tc>
          <w:tcPr>
            <w:tcW w:w="10900" w:type="dxa"/>
            <w:gridSpan w:val="5"/>
            <w:tcBorders>
              <w:top w:val="single" w:sz="2" w:space="0" w:color="C9CDD6"/>
              <w:left w:val="single" w:sz="2" w:space="0" w:color="C9CDD6"/>
              <w:bottom w:val="single" w:sz="2" w:space="0" w:color="C9CDD6"/>
              <w:right w:val="single" w:sz="2" w:space="0" w:color="C9CDD6"/>
            </w:tcBorders>
            <w:shd w:val="clear" w:color="auto" w:fill="DCE3F0"/>
            <w:tcMar>
              <w:top w:w="45" w:type="dxa"/>
              <w:left w:w="90" w:type="dxa"/>
              <w:bottom w:w="45" w:type="dxa"/>
              <w:right w:w="90" w:type="dxa"/>
            </w:tcMar>
            <w:vAlign w:val="center"/>
          </w:tcPr>
          <w:p w14:paraId="496DE13A" w14:textId="77777777" w:rsidR="009B3A95" w:rsidRDefault="00A13277">
            <w:r>
              <w:rPr>
                <w:b/>
                <w:bCs/>
                <w:color w:val="13284A"/>
                <w:sz w:val="16"/>
                <w:szCs w:val="16"/>
              </w:rPr>
              <w:t>Wages</w:t>
            </w:r>
          </w:p>
        </w:tc>
      </w:tr>
      <w:tr w:rsidR="009B3A95" w14:paraId="496DE141" w14:textId="77777777">
        <w:tblPrEx>
          <w:tblCellMar>
            <w:top w:w="0" w:type="dxa"/>
            <w:bottom w:w="0" w:type="dxa"/>
          </w:tblCellMar>
        </w:tblPrEx>
        <w:tc>
          <w:tcPr>
            <w:tcW w:w="390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3C" w14:textId="77777777" w:rsidR="009B3A95" w:rsidRDefault="00A13277">
            <w:r>
              <w:rPr>
                <w:color w:val="1A1A1A"/>
                <w:sz w:val="16"/>
                <w:szCs w:val="16"/>
              </w:rPr>
              <w:t>Average wage, % above no-AI path</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3D" w14:textId="77777777" w:rsidR="009B3A95" w:rsidRDefault="00A13277">
            <w:pPr>
              <w:jc w:val="center"/>
            </w:pPr>
            <w:r>
              <w:rPr>
                <w:color w:val="1A1A1A"/>
                <w:sz w:val="16"/>
                <w:szCs w:val="16"/>
              </w:rPr>
              <w:t>+0.7%</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3E" w14:textId="77777777" w:rsidR="009B3A95" w:rsidRDefault="00A13277">
            <w:pPr>
              <w:jc w:val="center"/>
            </w:pPr>
            <w:r>
              <w:rPr>
                <w:color w:val="1A1A1A"/>
                <w:sz w:val="16"/>
                <w:szCs w:val="16"/>
              </w:rPr>
              <w:t>+2.1%</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3F" w14:textId="77777777" w:rsidR="009B3A95" w:rsidRDefault="00A13277">
            <w:pPr>
              <w:jc w:val="center"/>
            </w:pPr>
            <w:r>
              <w:rPr>
                <w:color w:val="1A1A1A"/>
                <w:sz w:val="16"/>
                <w:szCs w:val="16"/>
              </w:rPr>
              <w:t>+9.7%</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40" w14:textId="77777777" w:rsidR="009B3A95" w:rsidRDefault="00A13277">
            <w:pPr>
              <w:jc w:val="center"/>
            </w:pPr>
            <w:r>
              <w:rPr>
                <w:color w:val="1A1A1A"/>
                <w:sz w:val="16"/>
                <w:szCs w:val="16"/>
              </w:rPr>
              <w:t>+2.6%</w:t>
            </w:r>
          </w:p>
        </w:tc>
      </w:tr>
      <w:tr w:rsidR="009B3A95" w14:paraId="496DE147" w14:textId="77777777">
        <w:tblPrEx>
          <w:tblCellMar>
            <w:top w:w="0" w:type="dxa"/>
            <w:bottom w:w="0" w:type="dxa"/>
          </w:tblCellMar>
        </w:tblPrEx>
        <w:tc>
          <w:tcPr>
            <w:tcW w:w="390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42" w14:textId="77777777" w:rsidR="009B3A95" w:rsidRDefault="00A13277">
            <w:r>
              <w:rPr>
                <w:color w:val="1A1A1A"/>
                <w:sz w:val="16"/>
                <w:szCs w:val="16"/>
              </w:rPr>
              <w:t>Cognitive-occupation wage, %</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43" w14:textId="77777777" w:rsidR="009B3A95" w:rsidRDefault="00A13277">
            <w:pPr>
              <w:jc w:val="center"/>
            </w:pPr>
            <w:r>
              <w:rPr>
                <w:color w:val="1A1A1A"/>
                <w:sz w:val="16"/>
                <w:szCs w:val="16"/>
              </w:rPr>
              <w:t>+0.4%</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44" w14:textId="77777777" w:rsidR="009B3A95" w:rsidRDefault="00A13277">
            <w:pPr>
              <w:jc w:val="center"/>
            </w:pPr>
            <w:r>
              <w:rPr>
                <w:color w:val="1A1A1A"/>
                <w:sz w:val="16"/>
                <w:szCs w:val="16"/>
              </w:rPr>
              <w:t>−0.3%</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45" w14:textId="77777777" w:rsidR="009B3A95" w:rsidRDefault="00A13277">
            <w:pPr>
              <w:jc w:val="center"/>
            </w:pPr>
            <w:r>
              <w:rPr>
                <w:color w:val="1A1A1A"/>
                <w:sz w:val="16"/>
                <w:szCs w:val="16"/>
              </w:rPr>
              <w:t>−11.5%</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46" w14:textId="77777777" w:rsidR="009B3A95" w:rsidRDefault="00A13277">
            <w:pPr>
              <w:jc w:val="center"/>
            </w:pPr>
            <w:r>
              <w:rPr>
                <w:color w:val="1A1A1A"/>
                <w:sz w:val="16"/>
                <w:szCs w:val="16"/>
              </w:rPr>
              <w:t>+0.6%</w:t>
            </w:r>
          </w:p>
        </w:tc>
      </w:tr>
      <w:tr w:rsidR="009B3A95" w14:paraId="496DE14D" w14:textId="77777777">
        <w:tblPrEx>
          <w:tblCellMar>
            <w:top w:w="0" w:type="dxa"/>
            <w:bottom w:w="0" w:type="dxa"/>
          </w:tblCellMar>
        </w:tblPrEx>
        <w:tc>
          <w:tcPr>
            <w:tcW w:w="390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48" w14:textId="77777777" w:rsidR="009B3A95" w:rsidRDefault="00A13277">
            <w:r>
              <w:rPr>
                <w:color w:val="1A1A1A"/>
                <w:sz w:val="16"/>
                <w:szCs w:val="16"/>
              </w:rPr>
              <w:t>All-other-occupation wage, %</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49" w14:textId="77777777" w:rsidR="009B3A95" w:rsidRDefault="00A13277">
            <w:pPr>
              <w:jc w:val="center"/>
            </w:pPr>
            <w:r>
              <w:rPr>
                <w:color w:val="1A1A1A"/>
                <w:sz w:val="16"/>
                <w:szCs w:val="16"/>
              </w:rPr>
              <w:t>+1.1%</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4A" w14:textId="77777777" w:rsidR="009B3A95" w:rsidRDefault="00A13277">
            <w:pPr>
              <w:jc w:val="center"/>
            </w:pPr>
            <w:r>
              <w:rPr>
                <w:color w:val="1A1A1A"/>
                <w:sz w:val="16"/>
                <w:szCs w:val="16"/>
              </w:rPr>
              <w:t>+5.9%</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4B" w14:textId="77777777" w:rsidR="009B3A95" w:rsidRDefault="00A13277">
            <w:pPr>
              <w:jc w:val="center"/>
            </w:pPr>
            <w:r>
              <w:rPr>
                <w:color w:val="1A1A1A"/>
                <w:sz w:val="16"/>
                <w:szCs w:val="16"/>
              </w:rPr>
              <w:t>+33.6%</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4C" w14:textId="77777777" w:rsidR="009B3A95" w:rsidRDefault="00A13277">
            <w:pPr>
              <w:jc w:val="center"/>
            </w:pPr>
            <w:r>
              <w:rPr>
                <w:color w:val="1A1A1A"/>
                <w:sz w:val="16"/>
                <w:szCs w:val="16"/>
              </w:rPr>
              <w:t>+6.4%</w:t>
            </w:r>
          </w:p>
        </w:tc>
      </w:tr>
      <w:tr w:rsidR="009B3A95" w14:paraId="496DE14F" w14:textId="77777777">
        <w:tblPrEx>
          <w:tblCellMar>
            <w:top w:w="0" w:type="dxa"/>
            <w:bottom w:w="0" w:type="dxa"/>
          </w:tblCellMar>
        </w:tblPrEx>
        <w:tc>
          <w:tcPr>
            <w:tcW w:w="10900" w:type="dxa"/>
            <w:gridSpan w:val="5"/>
            <w:tcBorders>
              <w:top w:val="single" w:sz="2" w:space="0" w:color="C9CDD6"/>
              <w:left w:val="single" w:sz="2" w:space="0" w:color="C9CDD6"/>
              <w:bottom w:val="single" w:sz="2" w:space="0" w:color="C9CDD6"/>
              <w:right w:val="single" w:sz="2" w:space="0" w:color="C9CDD6"/>
            </w:tcBorders>
            <w:shd w:val="clear" w:color="auto" w:fill="DCE3F0"/>
            <w:tcMar>
              <w:top w:w="45" w:type="dxa"/>
              <w:left w:w="90" w:type="dxa"/>
              <w:bottom w:w="45" w:type="dxa"/>
              <w:right w:w="90" w:type="dxa"/>
            </w:tcMar>
            <w:vAlign w:val="center"/>
          </w:tcPr>
          <w:p w14:paraId="496DE14E" w14:textId="77777777" w:rsidR="009B3A95" w:rsidRDefault="00A13277">
            <w:r>
              <w:rPr>
                <w:b/>
                <w:bCs/>
                <w:color w:val="13284A"/>
                <w:sz w:val="16"/>
                <w:szCs w:val="16"/>
              </w:rPr>
              <w:t>Income shares</w:t>
            </w:r>
          </w:p>
        </w:tc>
      </w:tr>
      <w:tr w:rsidR="009B3A95" w14:paraId="496DE155" w14:textId="77777777">
        <w:tblPrEx>
          <w:tblCellMar>
            <w:top w:w="0" w:type="dxa"/>
            <w:bottom w:w="0" w:type="dxa"/>
          </w:tblCellMar>
        </w:tblPrEx>
        <w:tc>
          <w:tcPr>
            <w:tcW w:w="390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50" w14:textId="77777777" w:rsidR="009B3A95" w:rsidRDefault="00A13277">
            <w:r>
              <w:rPr>
                <w:color w:val="1A1A1A"/>
                <w:sz w:val="16"/>
                <w:szCs w:val="16"/>
              </w:rPr>
              <w:t>Labor share of income (60.0% today)</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51" w14:textId="77777777" w:rsidR="009B3A95" w:rsidRDefault="00A13277">
            <w:pPr>
              <w:jc w:val="center"/>
            </w:pPr>
            <w:r>
              <w:rPr>
                <w:color w:val="1A1A1A"/>
                <w:sz w:val="16"/>
                <w:szCs w:val="16"/>
              </w:rPr>
              <w:t>59.4%</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52" w14:textId="77777777" w:rsidR="009B3A95" w:rsidRDefault="00A13277">
            <w:pPr>
              <w:jc w:val="center"/>
            </w:pPr>
            <w:r>
              <w:rPr>
                <w:color w:val="1A1A1A"/>
                <w:sz w:val="16"/>
                <w:szCs w:val="16"/>
              </w:rPr>
              <w:t>56.1%</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53" w14:textId="77777777" w:rsidR="009B3A95" w:rsidRDefault="00A13277">
            <w:pPr>
              <w:jc w:val="center"/>
            </w:pPr>
            <w:r>
              <w:rPr>
                <w:color w:val="1A1A1A"/>
                <w:sz w:val="16"/>
                <w:szCs w:val="16"/>
              </w:rPr>
              <w:t>45.2%</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54" w14:textId="77777777" w:rsidR="009B3A95" w:rsidRDefault="00A13277">
            <w:pPr>
              <w:jc w:val="center"/>
            </w:pPr>
            <w:r>
              <w:rPr>
                <w:color w:val="1A1A1A"/>
                <w:sz w:val="16"/>
                <w:szCs w:val="16"/>
              </w:rPr>
              <w:t>57.2%</w:t>
            </w:r>
          </w:p>
        </w:tc>
      </w:tr>
      <w:tr w:rsidR="009B3A95" w14:paraId="496DE15B" w14:textId="77777777">
        <w:tblPrEx>
          <w:tblCellMar>
            <w:top w:w="0" w:type="dxa"/>
            <w:bottom w:w="0" w:type="dxa"/>
          </w:tblCellMar>
        </w:tblPrEx>
        <w:tc>
          <w:tcPr>
            <w:tcW w:w="390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56" w14:textId="77777777" w:rsidR="009B3A95" w:rsidRDefault="00A13277">
            <w:r>
              <w:rPr>
                <w:color w:val="1A1A1A"/>
                <w:sz w:val="16"/>
                <w:szCs w:val="16"/>
              </w:rPr>
              <w:t>Capital share of income (40.0% today)</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57" w14:textId="77777777" w:rsidR="009B3A95" w:rsidRDefault="00A13277">
            <w:pPr>
              <w:jc w:val="center"/>
            </w:pPr>
            <w:r>
              <w:rPr>
                <w:color w:val="1A1A1A"/>
                <w:sz w:val="16"/>
                <w:szCs w:val="16"/>
              </w:rPr>
              <w:t>40.6%</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58" w14:textId="77777777" w:rsidR="009B3A95" w:rsidRDefault="00A13277">
            <w:pPr>
              <w:jc w:val="center"/>
            </w:pPr>
            <w:r>
              <w:rPr>
                <w:color w:val="1A1A1A"/>
                <w:sz w:val="16"/>
                <w:szCs w:val="16"/>
              </w:rPr>
              <w:t>43.9%</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59" w14:textId="77777777" w:rsidR="009B3A95" w:rsidRDefault="00A13277">
            <w:pPr>
              <w:jc w:val="center"/>
            </w:pPr>
            <w:r>
              <w:rPr>
                <w:color w:val="1A1A1A"/>
                <w:sz w:val="16"/>
                <w:szCs w:val="16"/>
              </w:rPr>
              <w:t>54.8%</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5A" w14:textId="77777777" w:rsidR="009B3A95" w:rsidRDefault="00A13277">
            <w:pPr>
              <w:jc w:val="center"/>
            </w:pPr>
            <w:r>
              <w:rPr>
                <w:color w:val="1A1A1A"/>
                <w:sz w:val="16"/>
                <w:szCs w:val="16"/>
              </w:rPr>
              <w:t>42.8%</w:t>
            </w:r>
          </w:p>
        </w:tc>
      </w:tr>
      <w:tr w:rsidR="009B3A95" w14:paraId="496DE15D" w14:textId="77777777">
        <w:tblPrEx>
          <w:tblCellMar>
            <w:top w:w="0" w:type="dxa"/>
            <w:bottom w:w="0" w:type="dxa"/>
          </w:tblCellMar>
        </w:tblPrEx>
        <w:tc>
          <w:tcPr>
            <w:tcW w:w="10900" w:type="dxa"/>
            <w:gridSpan w:val="5"/>
            <w:tcBorders>
              <w:top w:val="single" w:sz="2" w:space="0" w:color="C9CDD6"/>
              <w:left w:val="single" w:sz="2" w:space="0" w:color="C9CDD6"/>
              <w:bottom w:val="single" w:sz="2" w:space="0" w:color="C9CDD6"/>
              <w:right w:val="single" w:sz="2" w:space="0" w:color="C9CDD6"/>
            </w:tcBorders>
            <w:shd w:val="clear" w:color="auto" w:fill="DCE3F0"/>
            <w:tcMar>
              <w:top w:w="45" w:type="dxa"/>
              <w:left w:w="90" w:type="dxa"/>
              <w:bottom w:w="45" w:type="dxa"/>
              <w:right w:w="90" w:type="dxa"/>
            </w:tcMar>
            <w:vAlign w:val="center"/>
          </w:tcPr>
          <w:p w14:paraId="496DE15C" w14:textId="77777777" w:rsidR="009B3A95" w:rsidRDefault="00A13277">
            <w:r>
              <w:rPr>
                <w:b/>
                <w:bCs/>
                <w:color w:val="13284A"/>
                <w:sz w:val="16"/>
                <w:szCs w:val="16"/>
              </w:rPr>
              <w:t>Labor market</w:t>
            </w:r>
          </w:p>
        </w:tc>
      </w:tr>
      <w:tr w:rsidR="009B3A95" w14:paraId="496DE163" w14:textId="77777777">
        <w:tblPrEx>
          <w:tblCellMar>
            <w:top w:w="0" w:type="dxa"/>
            <w:bottom w:w="0" w:type="dxa"/>
          </w:tblCellMar>
        </w:tblPrEx>
        <w:tc>
          <w:tcPr>
            <w:tcW w:w="390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5E" w14:textId="77777777" w:rsidR="009B3A95" w:rsidRDefault="00A13277">
            <w:r>
              <w:rPr>
                <w:color w:val="1A1A1A"/>
                <w:sz w:val="16"/>
                <w:szCs w:val="16"/>
              </w:rPr>
              <w:t>Cognitive employment, chg. since mid-2026</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5F" w14:textId="77777777" w:rsidR="009B3A95" w:rsidRDefault="00A13277">
            <w:pPr>
              <w:jc w:val="center"/>
            </w:pPr>
            <w:r>
              <w:rPr>
                <w:color w:val="1A1A1A"/>
                <w:sz w:val="16"/>
                <w:szCs w:val="16"/>
              </w:rPr>
              <w:t>−0.5%</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60" w14:textId="77777777" w:rsidR="009B3A95" w:rsidRDefault="00A13277">
            <w:pPr>
              <w:jc w:val="center"/>
            </w:pPr>
            <w:r>
              <w:rPr>
                <w:color w:val="1A1A1A"/>
                <w:sz w:val="16"/>
                <w:szCs w:val="16"/>
              </w:rPr>
              <w:t>−3.9%</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61" w14:textId="77777777" w:rsidR="009B3A95" w:rsidRDefault="00A13277">
            <w:pPr>
              <w:jc w:val="center"/>
            </w:pPr>
            <w:r>
              <w:rPr>
                <w:color w:val="1A1A1A"/>
                <w:sz w:val="16"/>
                <w:szCs w:val="16"/>
              </w:rPr>
              <w:t>−21.5%</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62" w14:textId="77777777" w:rsidR="009B3A95" w:rsidRDefault="00A13277">
            <w:pPr>
              <w:jc w:val="center"/>
            </w:pPr>
            <w:r>
              <w:rPr>
                <w:color w:val="1A1A1A"/>
                <w:sz w:val="16"/>
                <w:szCs w:val="16"/>
              </w:rPr>
              <w:t>−4.2%</w:t>
            </w:r>
          </w:p>
        </w:tc>
      </w:tr>
      <w:tr w:rsidR="009B3A95" w14:paraId="496DE169" w14:textId="77777777">
        <w:tblPrEx>
          <w:tblCellMar>
            <w:top w:w="0" w:type="dxa"/>
            <w:bottom w:w="0" w:type="dxa"/>
          </w:tblCellMar>
        </w:tblPrEx>
        <w:tc>
          <w:tcPr>
            <w:tcW w:w="390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64" w14:textId="77777777" w:rsidR="009B3A95" w:rsidRDefault="00A13277">
            <w:r>
              <w:rPr>
                <w:color w:val="1A1A1A"/>
                <w:sz w:val="16"/>
                <w:szCs w:val="16"/>
              </w:rPr>
              <w:t>Unemployment rate, cognitive workers (2.9% today)</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65" w14:textId="77777777" w:rsidR="009B3A95" w:rsidRDefault="00A13277">
            <w:pPr>
              <w:jc w:val="center"/>
            </w:pPr>
            <w:r>
              <w:rPr>
                <w:color w:val="1A1A1A"/>
                <w:sz w:val="16"/>
                <w:szCs w:val="16"/>
              </w:rPr>
              <w:t>2.9%</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66" w14:textId="77777777" w:rsidR="009B3A95" w:rsidRDefault="00A13277">
            <w:pPr>
              <w:jc w:val="center"/>
            </w:pPr>
            <w:r>
              <w:rPr>
                <w:color w:val="1A1A1A"/>
                <w:sz w:val="16"/>
                <w:szCs w:val="16"/>
              </w:rPr>
              <w:t>4.5%</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67" w14:textId="77777777" w:rsidR="009B3A95" w:rsidRDefault="00A13277">
            <w:pPr>
              <w:jc w:val="center"/>
            </w:pPr>
            <w:r>
              <w:rPr>
                <w:color w:val="1A1A1A"/>
                <w:sz w:val="16"/>
                <w:szCs w:val="16"/>
              </w:rPr>
              <w:t>17.9%</w:t>
            </w:r>
          </w:p>
        </w:tc>
        <w:tc>
          <w:tcPr>
            <w:tcW w:w="1750" w:type="dxa"/>
            <w:tcBorders>
              <w:top w:val="single" w:sz="2" w:space="0" w:color="C9CDD6"/>
              <w:left w:val="single" w:sz="2" w:space="0" w:color="C9CDD6"/>
              <w:bottom w:val="single" w:sz="2" w:space="0" w:color="C9CDD6"/>
              <w:right w:val="single" w:sz="2" w:space="0" w:color="C9CDD6"/>
            </w:tcBorders>
            <w:shd w:val="clear" w:color="auto" w:fill="EEF1F6"/>
            <w:tcMar>
              <w:top w:w="45" w:type="dxa"/>
              <w:left w:w="90" w:type="dxa"/>
              <w:bottom w:w="45" w:type="dxa"/>
              <w:right w:w="90" w:type="dxa"/>
            </w:tcMar>
            <w:vAlign w:val="center"/>
          </w:tcPr>
          <w:p w14:paraId="496DE168" w14:textId="77777777" w:rsidR="009B3A95" w:rsidRDefault="00A13277">
            <w:pPr>
              <w:jc w:val="center"/>
            </w:pPr>
            <w:r>
              <w:rPr>
                <w:color w:val="1A1A1A"/>
                <w:sz w:val="16"/>
                <w:szCs w:val="16"/>
              </w:rPr>
              <w:t>4.6%</w:t>
            </w:r>
          </w:p>
        </w:tc>
      </w:tr>
      <w:tr w:rsidR="009B3A95" w14:paraId="496DE16F" w14:textId="77777777">
        <w:tblPrEx>
          <w:tblCellMar>
            <w:top w:w="0" w:type="dxa"/>
            <w:bottom w:w="0" w:type="dxa"/>
          </w:tblCellMar>
        </w:tblPrEx>
        <w:tc>
          <w:tcPr>
            <w:tcW w:w="390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6A" w14:textId="77777777" w:rsidR="009B3A95" w:rsidRDefault="00A13277">
            <w:r>
              <w:rPr>
                <w:color w:val="1A1A1A"/>
                <w:sz w:val="16"/>
                <w:szCs w:val="16"/>
              </w:rPr>
              <w:t>Unemployment rate, all workers (3.8% today)</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6B" w14:textId="77777777" w:rsidR="009B3A95" w:rsidRDefault="00A13277">
            <w:pPr>
              <w:jc w:val="center"/>
            </w:pPr>
            <w:r>
              <w:rPr>
                <w:color w:val="1A1A1A"/>
                <w:sz w:val="16"/>
                <w:szCs w:val="16"/>
              </w:rPr>
              <w:t>3.9%</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6C" w14:textId="77777777" w:rsidR="009B3A95" w:rsidRDefault="00A13277">
            <w:pPr>
              <w:jc w:val="center"/>
            </w:pPr>
            <w:r>
              <w:rPr>
                <w:color w:val="1A1A1A"/>
                <w:sz w:val="16"/>
                <w:szCs w:val="16"/>
              </w:rPr>
              <w:t>4.6%</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6D" w14:textId="77777777" w:rsidR="009B3A95" w:rsidRDefault="00A13277">
            <w:pPr>
              <w:jc w:val="center"/>
            </w:pPr>
            <w:r>
              <w:rPr>
                <w:color w:val="1A1A1A"/>
                <w:sz w:val="16"/>
                <w:szCs w:val="16"/>
              </w:rPr>
              <w:t>11.9%</w:t>
            </w:r>
          </w:p>
        </w:tc>
        <w:tc>
          <w:tcPr>
            <w:tcW w:w="1750" w:type="dxa"/>
            <w:tcBorders>
              <w:top w:val="single" w:sz="2" w:space="0" w:color="C9CDD6"/>
              <w:left w:val="single" w:sz="2" w:space="0" w:color="C9CDD6"/>
              <w:bottom w:val="single" w:sz="2" w:space="0" w:color="C9CDD6"/>
              <w:right w:val="single" w:sz="2" w:space="0" w:color="C9CDD6"/>
            </w:tcBorders>
            <w:shd w:val="clear" w:color="auto" w:fill="FFFFFF"/>
            <w:tcMar>
              <w:top w:w="45" w:type="dxa"/>
              <w:left w:w="90" w:type="dxa"/>
              <w:bottom w:w="45" w:type="dxa"/>
              <w:right w:w="90" w:type="dxa"/>
            </w:tcMar>
            <w:vAlign w:val="center"/>
          </w:tcPr>
          <w:p w14:paraId="496DE16E" w14:textId="77777777" w:rsidR="009B3A95" w:rsidRDefault="00A13277">
            <w:pPr>
              <w:jc w:val="center"/>
            </w:pPr>
            <w:r>
              <w:rPr>
                <w:color w:val="1A1A1A"/>
                <w:sz w:val="16"/>
                <w:szCs w:val="16"/>
              </w:rPr>
              <w:t>4.6%</w:t>
            </w:r>
          </w:p>
        </w:tc>
      </w:tr>
    </w:tbl>
    <w:p w14:paraId="496DE170" w14:textId="77777777" w:rsidR="009B3A95" w:rsidRDefault="00A13277">
      <w:pPr>
        <w:spacing w:before="80" w:after="140"/>
      </w:pPr>
      <w:r>
        <w:rPr>
          <w:i/>
          <w:iCs/>
          <w:color w:val="555555"/>
          <w:sz w:val="15"/>
          <w:szCs w:val="15"/>
        </w:rPr>
        <w:t>*Survey median: outcomes implied by the median answers of 10,980 US adults surveyed on their AI expectations (Aug 2026) — close to, but not identical to, the substantial scenario. Individual responses varied widely (e.g. the 25th–75th percentile for 2030 GDP impact spans +3% to +19%).</w:t>
      </w:r>
    </w:p>
    <w:p w14:paraId="496DE171" w14:textId="77777777" w:rsidR="009B3A95" w:rsidRDefault="00A13277">
      <w:pPr>
        <w:spacing w:after="60"/>
      </w:pPr>
      <w:r>
        <w:rPr>
          <w:b/>
          <w:bCs/>
          <w:color w:val="13284A"/>
          <w:sz w:val="22"/>
          <w:szCs w:val="22"/>
        </w:rPr>
        <w:t>4.  What US adults expect</w:t>
      </w:r>
    </w:p>
    <w:p w14:paraId="496DE172" w14:textId="77777777" w:rsidR="009B3A95" w:rsidRDefault="00A13277">
      <w:pPr>
        <w:spacing w:after="140"/>
      </w:pPr>
      <w:r>
        <w:rPr>
          <w:color w:val="1A1A1A"/>
          <w:sz w:val="19"/>
          <w:szCs w:val="19"/>
        </w:rPr>
        <w:t>The authors surveyed 10,980 US adults (Morning Consult, 11–23 Aug 2026) on when AI will match a skilled professional at eight tasks of rising difficulty, how widely it will be used, the productivity gain, whether it automates or assists, and how long a displaced worker takes to find new work. Today, 24% think AI can already build and maintain a software product and 19% think it can already run a small online business unassisted; by 2030, 52% expect the latter and 39% expect a Nobel-level scientific discover</w:t>
      </w:r>
      <w:r>
        <w:rPr>
          <w:color w:val="1A1A1A"/>
          <w:sz w:val="19"/>
          <w:szCs w:val="19"/>
        </w:rPr>
        <w:t>y, while 40% say that will never happen. Views are highly dispersed: about 30% expect AI to save no time at all on a task well-suited to it, while 49% expect it to at least halve the time. Mapped through the model, the median respondent's answers land close to the substantial scenario, but the underlying disagreement is wide enough that the 25th–75th percentile of implied outcomes spans from near-modest to near-extreme.</w:t>
      </w:r>
    </w:p>
    <w:p w14:paraId="496DE173" w14:textId="77777777" w:rsidR="009B3A95" w:rsidRDefault="00A13277">
      <w:pPr>
        <w:spacing w:after="60"/>
      </w:pPr>
      <w:r>
        <w:rPr>
          <w:b/>
          <w:bCs/>
          <w:color w:val="13284A"/>
          <w:sz w:val="22"/>
          <w:szCs w:val="22"/>
        </w:rPr>
        <w:t>5.  Two things the results hinge on</w:t>
      </w:r>
    </w:p>
    <w:p w14:paraId="496DE174" w14:textId="77777777" w:rsidR="009B3A95" w:rsidRDefault="00A13277">
      <w:pPr>
        <w:spacing w:after="140"/>
      </w:pPr>
      <w:r>
        <w:rPr>
          <w:color w:val="1A1A1A"/>
          <w:sz w:val="19"/>
          <w:szCs w:val="19"/>
        </w:rPr>
        <w:t xml:space="preserve">The paper stress-tests two parameters that are assumed rather than estimated. (i) How elastic is the supply of capital? If capital is scarce and slow to add (low elasticity), gains concentrate in returns to capital and wages can fall in absolute terms — in the extreme scenario, average wages fall 9.2% below the no-AI path when capital supply is inelastic, versus rising 30.1% when it is perfectly elastic. (ii) How rigid are </w:t>
      </w:r>
      <w:r>
        <w:rPr>
          <w:color w:val="1A1A1A"/>
          <w:sz w:val="19"/>
          <w:szCs w:val="19"/>
        </w:rPr>
        <w:lastRenderedPageBreak/>
        <w:t>cognitive wages? A stickier wage shifts the cost from pay to jobs: in the extreme scenario, fully flexible wages (ξ=0) imply cognitive wages 42% below the no-AI path but only 2.6% cognitive unemployment, while very rigid wages (ξ=0.9) imply cognitive wages 2.8% above the no-AI path but 24.0% cognitive unemployment. Either way, cognitive workers bear a real cost — the model just relocates it between the wage and the unemployment line.</w:t>
      </w:r>
    </w:p>
    <w:p w14:paraId="496DE175" w14:textId="77777777" w:rsidR="009B3A95" w:rsidRDefault="00A13277">
      <w:pPr>
        <w:spacing w:after="60"/>
      </w:pPr>
      <w:r>
        <w:rPr>
          <w:b/>
          <w:bCs/>
          <w:color w:val="13284A"/>
          <w:sz w:val="22"/>
          <w:szCs w:val="22"/>
        </w:rPr>
        <w:t>6.  Who gains, who loses, and what it would take to fix it</w:t>
      </w:r>
    </w:p>
    <w:p w14:paraId="496DE176" w14:textId="77777777" w:rsidR="009B3A95" w:rsidRDefault="00A13277">
      <w:pPr>
        <w:spacing w:after="140"/>
      </w:pPr>
      <w:r>
        <w:rPr>
          <w:color w:val="1A1A1A"/>
        </w:rPr>
        <w:t>In every scenario the mechanics are the same — output rises, cognitive employment shrinks, non-cognitive employment and wages rise — and only the size and speed differ. In the extreme scenario, GDP is a third larger by 2030 but nearly one in five cognitive workers is unemployed and the labor share of income falls from 60% to 45% — a bigger four-year shift than the US labor share saw over four decades after 1980. The paper's own accounting: the economy's total gain is nearly three times what cognitive worker</w:t>
      </w:r>
      <w:r>
        <w:rPr>
          <w:color w:val="1A1A1A"/>
        </w:rPr>
        <w:t>s lose in wages and jobs, so redistribution could in principle leave everyone better off — it would take a transfer of about 9% of GDP (roughly the size of Social Security and Medicare combined). The authors note transfers of that scale have no historical precedent following technological disruption and “mostly do not happen on their own.” Robustness checks show the split between wage losses and unemployment is a policy-relevant knob: more rigid wages mean more layoffs and a smaller pay cut for those who ke</w:t>
      </w:r>
      <w:r>
        <w:rPr>
          <w:color w:val="1A1A1A"/>
        </w:rPr>
        <w:t>ep their jobs, and vice versa.</w:t>
      </w:r>
    </w:p>
    <w:p w14:paraId="496DE177" w14:textId="77777777" w:rsidR="009B3A95" w:rsidRDefault="00A13277">
      <w:pPr>
        <w:spacing w:after="60"/>
      </w:pPr>
      <w:r>
        <w:rPr>
          <w:b/>
          <w:bCs/>
          <w:color w:val="13284A"/>
          <w:sz w:val="22"/>
          <w:szCs w:val="22"/>
        </w:rPr>
        <w:t>7.  Caveats and bottom line</w:t>
      </w:r>
    </w:p>
    <w:p w14:paraId="496DE178" w14:textId="77777777" w:rsidR="009B3A95" w:rsidRDefault="00A13277">
      <w:pPr>
        <w:spacing w:after="100"/>
      </w:pPr>
      <w:r>
        <w:rPr>
          <w:color w:val="555555"/>
          <w:sz w:val="17"/>
          <w:szCs w:val="17"/>
        </w:rPr>
        <w:t>The authors flag their own model's limits: it omits catastrophic risk, political economy, business cycles and financial disruption; it does not model robotics or physical-task automation, so it stops at 2030; worker heterogeneity is coarse (only two occupation groups, no tenure or skill discount on switching); and the innovation/growth channel likely understates any AI-accelerated research feedback loop.</w:t>
      </w:r>
    </w:p>
    <w:p w14:paraId="496DE179" w14:textId="77777777" w:rsidR="009B3A95" w:rsidRDefault="00A13277">
      <w:r>
        <w:rPr>
          <w:color w:val="1A1A1A"/>
        </w:rPr>
        <w:t>The authors take no position on which scenario is more likely — “today, none of the three can be ruled out” — but argue every input to the model (task coverage, adoption, productivity gain, re-employment speed) is measurable, so the data of the next one to two years should reveal which path the economy is actually on. Their explicit recommendation: preparing for potential labor-market disruption — retraining, income support, or new mechanisms not yet designed — is the prudent course regardless of which scen</w:t>
      </w:r>
      <w:r>
        <w:rPr>
          <w:color w:val="1A1A1A"/>
        </w:rPr>
        <w:t>ario materialises.</w:t>
      </w:r>
    </w:p>
    <w:sectPr w:rsidR="009B3A95">
      <w:pgSz w:w="12240" w:h="15840"/>
      <w:pgMar w:top="700" w:right="720" w:bottom="70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3E592" w14:textId="77777777" w:rsidR="00A13277" w:rsidRDefault="00A13277">
      <w:r>
        <w:separator/>
      </w:r>
    </w:p>
  </w:endnote>
  <w:endnote w:type="continuationSeparator" w:id="0">
    <w:p w14:paraId="437A45D3" w14:textId="77777777" w:rsidR="00A13277" w:rsidRDefault="00A13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ADF05" w14:textId="77777777" w:rsidR="00A13277" w:rsidRDefault="00A13277">
      <w:r>
        <w:separator/>
      </w:r>
    </w:p>
  </w:footnote>
  <w:footnote w:type="continuationSeparator" w:id="0">
    <w:p w14:paraId="53A7C280" w14:textId="77777777" w:rsidR="00A13277" w:rsidRDefault="00A13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128F9"/>
    <w:multiLevelType w:val="hybridMultilevel"/>
    <w:tmpl w:val="DF7ADF1C"/>
    <w:lvl w:ilvl="0" w:tplc="D1E60156">
      <w:start w:val="1"/>
      <w:numFmt w:val="bullet"/>
      <w:lvlText w:val="●"/>
      <w:lvlJc w:val="left"/>
      <w:pPr>
        <w:ind w:left="720" w:hanging="360"/>
      </w:pPr>
    </w:lvl>
    <w:lvl w:ilvl="1" w:tplc="A6941366">
      <w:start w:val="1"/>
      <w:numFmt w:val="bullet"/>
      <w:lvlText w:val="○"/>
      <w:lvlJc w:val="left"/>
      <w:pPr>
        <w:ind w:left="1440" w:hanging="360"/>
      </w:pPr>
    </w:lvl>
    <w:lvl w:ilvl="2" w:tplc="793C8156">
      <w:start w:val="1"/>
      <w:numFmt w:val="bullet"/>
      <w:lvlText w:val="■"/>
      <w:lvlJc w:val="left"/>
      <w:pPr>
        <w:ind w:left="2160" w:hanging="360"/>
      </w:pPr>
    </w:lvl>
    <w:lvl w:ilvl="3" w:tplc="68DC4DD8">
      <w:start w:val="1"/>
      <w:numFmt w:val="bullet"/>
      <w:lvlText w:val="●"/>
      <w:lvlJc w:val="left"/>
      <w:pPr>
        <w:ind w:left="2880" w:hanging="360"/>
      </w:pPr>
    </w:lvl>
    <w:lvl w:ilvl="4" w:tplc="B3C4E658">
      <w:start w:val="1"/>
      <w:numFmt w:val="bullet"/>
      <w:lvlText w:val="○"/>
      <w:lvlJc w:val="left"/>
      <w:pPr>
        <w:ind w:left="3600" w:hanging="360"/>
      </w:pPr>
    </w:lvl>
    <w:lvl w:ilvl="5" w:tplc="7EA04BA2">
      <w:start w:val="1"/>
      <w:numFmt w:val="bullet"/>
      <w:lvlText w:val="■"/>
      <w:lvlJc w:val="left"/>
      <w:pPr>
        <w:ind w:left="4320" w:hanging="360"/>
      </w:pPr>
    </w:lvl>
    <w:lvl w:ilvl="6" w:tplc="155248E8">
      <w:start w:val="1"/>
      <w:numFmt w:val="bullet"/>
      <w:lvlText w:val="●"/>
      <w:lvlJc w:val="left"/>
      <w:pPr>
        <w:ind w:left="5040" w:hanging="360"/>
      </w:pPr>
    </w:lvl>
    <w:lvl w:ilvl="7" w:tplc="7CB0047E">
      <w:start w:val="1"/>
      <w:numFmt w:val="bullet"/>
      <w:lvlText w:val="●"/>
      <w:lvlJc w:val="left"/>
      <w:pPr>
        <w:ind w:left="5760" w:hanging="360"/>
      </w:pPr>
    </w:lvl>
    <w:lvl w:ilvl="8" w:tplc="B1B60430">
      <w:start w:val="1"/>
      <w:numFmt w:val="bullet"/>
      <w:lvlText w:val="●"/>
      <w:lvlJc w:val="left"/>
      <w:pPr>
        <w:ind w:left="6480" w:hanging="360"/>
      </w:pPr>
    </w:lvl>
  </w:abstractNum>
  <w:num w:numId="1" w16cid:durableId="6940366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A95"/>
    <w:rsid w:val="008201AB"/>
    <w:rsid w:val="009B3A95"/>
    <w:rsid w:val="00A13277"/>
    <w:rsid w:val="00B35DD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DE11E"/>
  <w15:docId w15:val="{7681B0B0-4D65-4C03-918E-647D4F24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201AB"/>
    <w:pPr>
      <w:tabs>
        <w:tab w:val="center" w:pos="4513"/>
        <w:tab w:val="right" w:pos="9026"/>
      </w:tabs>
    </w:pPr>
  </w:style>
  <w:style w:type="character" w:customStyle="1" w:styleId="HeaderChar">
    <w:name w:val="Header Char"/>
    <w:basedOn w:val="DefaultParagraphFont"/>
    <w:link w:val="Header"/>
    <w:uiPriority w:val="99"/>
    <w:rsid w:val="008201AB"/>
  </w:style>
  <w:style w:type="paragraph" w:styleId="Footer">
    <w:name w:val="footer"/>
    <w:basedOn w:val="Normal"/>
    <w:link w:val="FooterChar"/>
    <w:uiPriority w:val="99"/>
    <w:unhideWhenUsed/>
    <w:rsid w:val="008201AB"/>
    <w:pPr>
      <w:tabs>
        <w:tab w:val="center" w:pos="4513"/>
        <w:tab w:val="right" w:pos="9026"/>
      </w:tabs>
    </w:pPr>
  </w:style>
  <w:style w:type="character" w:customStyle="1" w:styleId="FooterChar">
    <w:name w:val="Footer Char"/>
    <w:basedOn w:val="DefaultParagraphFont"/>
    <w:link w:val="Footer"/>
    <w:uiPriority w:val="99"/>
    <w:rsid w:val="008201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1100</Words>
  <Characters>6275</Characters>
  <Application>Microsoft Office Word</Application>
  <DocSecurity>0</DocSecurity>
  <Lines>52</Lines>
  <Paragraphs>14</Paragraphs>
  <ScaleCrop>false</ScaleCrop>
  <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Sunil Mishra</cp:lastModifiedBy>
  <cp:revision>2</cp:revision>
  <dcterms:created xsi:type="dcterms:W3CDTF">2026-09-20T08:10:00Z</dcterms:created>
  <dcterms:modified xsi:type="dcterms:W3CDTF">2026-09-20T13:04:00Z</dcterms:modified>
</cp:coreProperties>
</file>