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7C812" w14:textId="77777777" w:rsidR="00787594" w:rsidRDefault="00787594" w:rsidP="00787594">
      <w:pPr>
        <w:rPr>
          <w:b/>
          <w:bCs/>
          <w:lang w:val="en-US"/>
        </w:rPr>
      </w:pPr>
      <w:r w:rsidRPr="00FF015E">
        <w:rPr>
          <w:b/>
          <w:bCs/>
          <w:lang w:val="en-US"/>
        </w:rPr>
        <w:t xml:space="preserve">Are China’s Robotics explosion and USA’s AI juggernaut the Scylla and Charybdis for the next 5-10 years </w:t>
      </w:r>
    </w:p>
    <w:p w14:paraId="46BF87DE" w14:textId="33913E46" w:rsidR="00087F8E" w:rsidRPr="00087F8E" w:rsidRDefault="00087F8E" w:rsidP="00787594">
      <w:pPr>
        <w:rPr>
          <w:lang w:val="en-US"/>
        </w:rPr>
      </w:pPr>
      <w:r>
        <w:rPr>
          <w:lang w:val="en-US"/>
        </w:rPr>
        <w:t>The Anthropic Paper completely omits the impact of a growing Chinese explosion in robotics, especially humanoid robots doing menial jobs</w:t>
      </w:r>
      <w:r w:rsidR="00294318">
        <w:rPr>
          <w:lang w:val="en-US"/>
        </w:rPr>
        <w:t xml:space="preserve">. Will AI growth attack Cognitive employment and Robotics </w:t>
      </w:r>
      <w:r w:rsidR="00205A26">
        <w:rPr>
          <w:lang w:val="en-US"/>
        </w:rPr>
        <w:t xml:space="preserve">attack </w:t>
      </w:r>
      <w:r w:rsidR="00C91CE3">
        <w:rPr>
          <w:lang w:val="en-US"/>
        </w:rPr>
        <w:t>non-cognitive</w:t>
      </w:r>
      <w:r w:rsidR="00205A26">
        <w:rPr>
          <w:lang w:val="en-US"/>
        </w:rPr>
        <w:t xml:space="preserve"> jobs?</w:t>
      </w:r>
    </w:p>
    <w:p w14:paraId="48CDB2CB" w14:textId="77777777" w:rsidR="00EF1FC0" w:rsidRDefault="00EF1FC0" w:rsidP="00787594">
      <w:pPr>
        <w:rPr>
          <w:b/>
          <w:bCs/>
          <w:color w:val="EE0000"/>
          <w:u w:val="single"/>
        </w:rPr>
      </w:pPr>
    </w:p>
    <w:p w14:paraId="351E84F8" w14:textId="2E4FDC93" w:rsidR="00087F8E" w:rsidRPr="00087F8E" w:rsidRDefault="00087F8E" w:rsidP="00787594">
      <w:pPr>
        <w:rPr>
          <w:b/>
          <w:bCs/>
          <w:u w:val="single"/>
        </w:rPr>
      </w:pPr>
      <w:r w:rsidRPr="00087F8E">
        <w:rPr>
          <w:b/>
          <w:bCs/>
          <w:color w:val="EE0000"/>
          <w:u w:val="single"/>
        </w:rPr>
        <w:t>Response from Claude:</w:t>
      </w:r>
    </w:p>
    <w:p w14:paraId="20C319C8" w14:textId="436FDA82" w:rsidR="00787594" w:rsidRPr="00B5267F" w:rsidRDefault="00787594" w:rsidP="00787594">
      <w:r w:rsidRPr="00B5267F">
        <w:t>You're right that this is a real gap in the paper, and it's worth taking seriously rather than waving away. But I'd push back gently on "Scylla and Charybdis" as the right image for a ten-year window specifically — the evidence points to two currents moving in the same direction at very different speeds, not a synchronized pincer.</w:t>
      </w:r>
    </w:p>
    <w:p w14:paraId="77C0CCD1" w14:textId="60A7457F" w:rsidR="00787594" w:rsidRPr="00B5267F" w:rsidRDefault="00787594" w:rsidP="00787594">
      <w:r w:rsidRPr="00B5267F">
        <w:t>The China push is real and moving faster than most people outside the industry realize. Beijing's nationwide embodied-AI program had local governments and state-owned enterprises submitting deployment plans by June 2026, and this isn't a paper exercise</w:t>
      </w:r>
      <w:r w:rsidR="00EF1FC0">
        <w:t xml:space="preserve"> </w:t>
      </w:r>
      <w:proofErr w:type="gramStart"/>
      <w:r w:rsidR="00EF1FC0">
        <w:t xml:space="preserve">- </w:t>
      </w:r>
      <w:r w:rsidRPr="00B5267F">
        <w:t xml:space="preserve"> </w:t>
      </w:r>
      <w:proofErr w:type="spellStart"/>
      <w:r w:rsidRPr="00B5267F">
        <w:t>UBTech's</w:t>
      </w:r>
      <w:proofErr w:type="spellEnd"/>
      <w:proofErr w:type="gramEnd"/>
      <w:r w:rsidRPr="00B5267F">
        <w:t xml:space="preserve"> Walker S2 is already running on BYD and NIO assembly lines with $112 million in booked orders, Figure's robots have reportedly built over 30,000 cars at BMW's Spartanburg plant at 99% accuracy, and Agility's Digit has moved 100,000-plus totes in live warehouse operations. Chinese humanoids have also gotten genuinely cheap</w:t>
      </w:r>
      <w:r w:rsidR="00654398">
        <w:t xml:space="preserve"> </w:t>
      </w:r>
      <w:proofErr w:type="gramStart"/>
      <w:r w:rsidR="00654398">
        <w:t xml:space="preserve">- </w:t>
      </w:r>
      <w:r w:rsidRPr="00B5267F">
        <w:t xml:space="preserve"> </w:t>
      </w:r>
      <w:r w:rsidRPr="00654398">
        <w:rPr>
          <w:b/>
          <w:bCs/>
        </w:rPr>
        <w:t>Unitree's</w:t>
      </w:r>
      <w:proofErr w:type="gramEnd"/>
      <w:r w:rsidRPr="00654398">
        <w:rPr>
          <w:b/>
          <w:bCs/>
        </w:rPr>
        <w:t xml:space="preserve"> G1 is around $16,000, its R1 under $6,000</w:t>
      </w:r>
      <w:r w:rsidRPr="00B5267F">
        <w:t xml:space="preserve"> </w:t>
      </w:r>
      <w:r w:rsidR="00654398">
        <w:t xml:space="preserve">- </w:t>
      </w:r>
      <w:r w:rsidRPr="00B5267F">
        <w:t xml:space="preserve">while Tesla's Optimus, at a promised $20-30K, has "missed every target since 2021" and still isn't sellable to outside customers until 2027. </w:t>
      </w:r>
      <w:proofErr w:type="gramStart"/>
      <w:r w:rsidRPr="00B5267F">
        <w:t>So</w:t>
      </w:r>
      <w:proofErr w:type="gramEnd"/>
      <w:r w:rsidRPr="00B5267F">
        <w:t xml:space="preserve"> on the state-backing and unit-shipment story, you're right to flag it, and China is unambiguously ahead of the US on getting hardware into real deployment.</w:t>
      </w:r>
    </w:p>
    <w:p w14:paraId="3A7E72D9" w14:textId="7A09877B" w:rsidR="00787594" w:rsidRPr="00B5267F" w:rsidRDefault="00787594" w:rsidP="00787594">
      <w:r w:rsidRPr="00B5267F">
        <w:t xml:space="preserve">Where I'd temper the alarm is on where that hardware is </w:t>
      </w:r>
      <w:proofErr w:type="gramStart"/>
      <w:r w:rsidRPr="00B5267F">
        <w:t>actually working</w:t>
      </w:r>
      <w:proofErr w:type="gramEnd"/>
      <w:r w:rsidRPr="00B5267F">
        <w:t>. Every one of those live deployments</w:t>
      </w:r>
      <w:r w:rsidR="004205B4">
        <w:t xml:space="preserve"> -</w:t>
      </w:r>
      <w:r w:rsidRPr="00B5267F">
        <w:t xml:space="preserve"> car assembly, warehouse tote-moving</w:t>
      </w:r>
      <w:r w:rsidR="004205B4">
        <w:t xml:space="preserve"> -</w:t>
      </w:r>
      <w:r w:rsidRPr="00B5267F">
        <w:t xml:space="preserve"> is a structured, repetitive, controlled physical environment, which is exactly the terrain fixed industrial robot arms have already occupied for forty years. The genuine frontier advance is the form factor (mobile and bipedal instead of bolted to a fixed station), not yet a leap into unstructured settings</w:t>
      </w:r>
      <w:r w:rsidR="004205B4">
        <w:t xml:space="preserve"> -</w:t>
      </w:r>
      <w:r w:rsidRPr="00B5267F">
        <w:t xml:space="preserve"> a construction site, a farm field, someone's home, a retail floor, India's informal gig economy. The reason is structural, not a hype-versus-reality gap that scale alone fixes: language models got essentially free access to internet-scale text, but there is no equivalent "internet of contact and balance" — every bit of manipulation data has to be physically generated, is slow and expensive to collect, and simulation still can't reproduce the contact, timing and balance dynamics well enough to transfer reliably to real hardware. Battery energy density and actuator durability are hardware-engineering problems that move on decade timescales, not the compute-scaling curves that made cognitive AI move so fast. A serious expert forecasting panel (the Forecasting Research Institute's LEAP survey, which polls both domain experts and </w:t>
      </w:r>
      <w:r w:rsidRPr="00B5267F">
        <w:lastRenderedPageBreak/>
        <w:t>superforecasters) puts something as basic as a robot autonomously making coffee in an unfamiliar home at a median of 2034</w:t>
      </w:r>
      <w:r w:rsidR="00B430DD">
        <w:t xml:space="preserve"> -</w:t>
      </w:r>
      <w:r w:rsidRPr="00B5267F">
        <w:t xml:space="preserve"> and despite forecasting industrial robot units more than tripling by 2040, the same panel still expects </w:t>
      </w:r>
      <w:proofErr w:type="spellStart"/>
      <w:r w:rsidRPr="00B5267F">
        <w:t>labor's</w:t>
      </w:r>
      <w:proofErr w:type="spellEnd"/>
      <w:r w:rsidRPr="00B5267F">
        <w:t xml:space="preserve"> overall share of income to fall only modestly, from about 58% today to 51% by 2040. One forecaster's line stuck with me: "</w:t>
      </w:r>
      <w:proofErr w:type="spellStart"/>
      <w:r w:rsidRPr="00B5267F">
        <w:t>labor</w:t>
      </w:r>
      <w:proofErr w:type="spellEnd"/>
      <w:r w:rsidRPr="00B5267F">
        <w:t xml:space="preserve"> share moves like a </w:t>
      </w:r>
      <w:proofErr w:type="spellStart"/>
      <w:r w:rsidRPr="00B5267F">
        <w:t>supertanker</w:t>
      </w:r>
      <w:proofErr w:type="spellEnd"/>
      <w:r w:rsidRPr="00B5267F">
        <w:t>."</w:t>
      </w:r>
    </w:p>
    <w:p w14:paraId="3601744D" w14:textId="77777777" w:rsidR="00C22E32" w:rsidRDefault="00787594" w:rsidP="00787594">
      <w:r w:rsidRPr="00B5267F">
        <w:t xml:space="preserve">So the honest calibration is something like: cognitive AI is already inside the house; robotics is currently breaking down the door to the structured, high-capital rooms — factories, warehouses, and plausibly, large organized construction projects run by big national developers — while the unstructured, low-capital, informal rooms (which is most of where India's non-cognitive workforce actually lives, stay much harder to reach for years, possibly a decade or more, longer than most of the current China-hype coverage implies. </w:t>
      </w:r>
    </w:p>
    <w:p w14:paraId="2008D1AA" w14:textId="5E9284E7" w:rsidR="00787594" w:rsidRPr="00B5267F" w:rsidRDefault="00787594" w:rsidP="00787594">
      <w:r w:rsidRPr="00B5267F">
        <w:t>That's a real, useful caveat on the segment table I built for you — the "agriculture and informal blue-collar are relatively AI-resistant" read holds up reasonably well through the 2030s, but it's not a permanent hedge, and organized/large-project construction is the one segment in that table I'd now flag as more exposed to a robotics-driven shift than I gave it credit for, especially if China starts exporting this hardware and playbook the way it has with EVs and solar.</w:t>
      </w:r>
    </w:p>
    <w:p w14:paraId="0D6030A4" w14:textId="77777777" w:rsidR="00787594" w:rsidRPr="00B5267F" w:rsidRDefault="00787594" w:rsidP="00787594">
      <w:r w:rsidRPr="00B5267F">
        <w:t>Is it bleak enough? I'd say it's a real, underpriced risk worth watching rather than a synchronized inevitability — genuinely uncertain, not doom, and the two waves are staggered enough that there's real time to see it coming and adjust, which is more than the "cognitive workers, retrain into blue-collar work" advice implicitly assumed.</w:t>
      </w:r>
    </w:p>
    <w:p w14:paraId="3E36BACD" w14:textId="77777777" w:rsidR="00787594" w:rsidRPr="00B5267F" w:rsidRDefault="00787594" w:rsidP="00787594">
      <w:r w:rsidRPr="00B5267F">
        <w:t>Sources:</w:t>
      </w:r>
    </w:p>
    <w:p w14:paraId="54A91F4A" w14:textId="77777777" w:rsidR="00787594" w:rsidRPr="00B5267F" w:rsidRDefault="00787594" w:rsidP="00787594">
      <w:pPr>
        <w:numPr>
          <w:ilvl w:val="0"/>
          <w:numId w:val="1"/>
        </w:numPr>
      </w:pPr>
      <w:hyperlink r:id="rId5" w:history="1">
        <w:r w:rsidRPr="00B5267F">
          <w:rPr>
            <w:rStyle w:val="Hyperlink"/>
          </w:rPr>
          <w:t>China Fast Tracks Humanoid Robots and Embodied AI Into Industry Under Nationwide Programme — SCMP</w:t>
        </w:r>
      </w:hyperlink>
    </w:p>
    <w:p w14:paraId="77224B65" w14:textId="77777777" w:rsidR="00787594" w:rsidRPr="00B5267F" w:rsidRDefault="00787594" w:rsidP="00787594">
      <w:pPr>
        <w:numPr>
          <w:ilvl w:val="0"/>
          <w:numId w:val="1"/>
        </w:numPr>
      </w:pPr>
      <w:hyperlink r:id="rId6" w:history="1">
        <w:r w:rsidRPr="00B5267F">
          <w:rPr>
            <w:rStyle w:val="Hyperlink"/>
          </w:rPr>
          <w:t>China Targets 10,000 Humanoid Robots in Commercial Use by End-2026 — Caixin Global</w:t>
        </w:r>
      </w:hyperlink>
    </w:p>
    <w:p w14:paraId="79B36902" w14:textId="77777777" w:rsidR="00787594" w:rsidRPr="00B5267F" w:rsidRDefault="00787594" w:rsidP="00787594">
      <w:pPr>
        <w:numPr>
          <w:ilvl w:val="0"/>
          <w:numId w:val="1"/>
        </w:numPr>
      </w:pPr>
      <w:hyperlink r:id="rId7" w:history="1">
        <w:r w:rsidRPr="00B5267F">
          <w:rPr>
            <w:rStyle w:val="Hyperlink"/>
          </w:rPr>
          <w:t>Unitree vs Tesla Optimus vs Figure: What a Humanoid Robot Actually Costs in 2026 — AI Business</w:t>
        </w:r>
      </w:hyperlink>
    </w:p>
    <w:p w14:paraId="72D073B9" w14:textId="77777777" w:rsidR="00787594" w:rsidRPr="00B5267F" w:rsidRDefault="00787594" w:rsidP="00787594">
      <w:pPr>
        <w:numPr>
          <w:ilvl w:val="0"/>
          <w:numId w:val="1"/>
        </w:numPr>
      </w:pPr>
      <w:hyperlink r:id="rId8" w:history="1">
        <w:r w:rsidRPr="00B5267F">
          <w:rPr>
            <w:rStyle w:val="Hyperlink"/>
          </w:rPr>
          <w:t>What Are the Remaining Bottlenecks for Humanoid Robotics? — The AI Insider</w:t>
        </w:r>
      </w:hyperlink>
    </w:p>
    <w:p w14:paraId="41F4861B" w14:textId="77777777" w:rsidR="00787594" w:rsidRPr="00B5267F" w:rsidRDefault="00787594" w:rsidP="00787594">
      <w:pPr>
        <w:numPr>
          <w:ilvl w:val="0"/>
          <w:numId w:val="1"/>
        </w:numPr>
      </w:pPr>
      <w:hyperlink r:id="rId9" w:history="1">
        <w:r w:rsidRPr="00B5267F">
          <w:rPr>
            <w:rStyle w:val="Hyperlink"/>
          </w:rPr>
          <w:t>LEAP Wave 7: Robotics and Physical AI — Forecasting Research Institute</w:t>
        </w:r>
      </w:hyperlink>
    </w:p>
    <w:p w14:paraId="5CC98410" w14:textId="77777777" w:rsidR="00787594" w:rsidRPr="000C60E9" w:rsidRDefault="00787594" w:rsidP="00787594">
      <w:pPr>
        <w:rPr>
          <w:lang w:val="en-US"/>
        </w:rPr>
      </w:pPr>
    </w:p>
    <w:p w14:paraId="6E8160F9" w14:textId="77777777" w:rsidR="003028D1" w:rsidRDefault="003028D1"/>
    <w:sectPr w:rsidR="003028D1" w:rsidSect="007875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A04EC4"/>
    <w:multiLevelType w:val="multilevel"/>
    <w:tmpl w:val="0BD8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6172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594"/>
    <w:rsid w:val="00087F8E"/>
    <w:rsid w:val="00205A26"/>
    <w:rsid w:val="00294318"/>
    <w:rsid w:val="003028D1"/>
    <w:rsid w:val="00335973"/>
    <w:rsid w:val="00354B8C"/>
    <w:rsid w:val="004205B4"/>
    <w:rsid w:val="00484325"/>
    <w:rsid w:val="00654398"/>
    <w:rsid w:val="00787594"/>
    <w:rsid w:val="00B430DD"/>
    <w:rsid w:val="00C22E32"/>
    <w:rsid w:val="00C91CE3"/>
    <w:rsid w:val="00D82889"/>
    <w:rsid w:val="00EF1F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A834"/>
  <w15:chartTrackingRefBased/>
  <w15:docId w15:val="{E047E2DB-2F9B-462B-B125-600008B2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594"/>
  </w:style>
  <w:style w:type="paragraph" w:styleId="Heading1">
    <w:name w:val="heading 1"/>
    <w:basedOn w:val="Normal"/>
    <w:next w:val="Normal"/>
    <w:link w:val="Heading1Char"/>
    <w:uiPriority w:val="9"/>
    <w:qFormat/>
    <w:rsid w:val="00787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7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7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7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7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7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7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7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7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7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7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594"/>
    <w:rPr>
      <w:rFonts w:eastAsiaTheme="majorEastAsia" w:cstheme="majorBidi"/>
      <w:color w:val="272727" w:themeColor="text1" w:themeTint="D8"/>
    </w:rPr>
  </w:style>
  <w:style w:type="paragraph" w:styleId="Title">
    <w:name w:val="Title"/>
    <w:basedOn w:val="Normal"/>
    <w:next w:val="Normal"/>
    <w:link w:val="TitleChar"/>
    <w:uiPriority w:val="10"/>
    <w:qFormat/>
    <w:rsid w:val="00787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594"/>
    <w:pPr>
      <w:spacing w:before="160"/>
      <w:jc w:val="center"/>
    </w:pPr>
    <w:rPr>
      <w:i/>
      <w:iCs/>
      <w:color w:val="404040" w:themeColor="text1" w:themeTint="BF"/>
    </w:rPr>
  </w:style>
  <w:style w:type="character" w:customStyle="1" w:styleId="QuoteChar">
    <w:name w:val="Quote Char"/>
    <w:basedOn w:val="DefaultParagraphFont"/>
    <w:link w:val="Quote"/>
    <w:uiPriority w:val="29"/>
    <w:rsid w:val="00787594"/>
    <w:rPr>
      <w:i/>
      <w:iCs/>
      <w:color w:val="404040" w:themeColor="text1" w:themeTint="BF"/>
    </w:rPr>
  </w:style>
  <w:style w:type="paragraph" w:styleId="ListParagraph">
    <w:name w:val="List Paragraph"/>
    <w:basedOn w:val="Normal"/>
    <w:uiPriority w:val="34"/>
    <w:qFormat/>
    <w:rsid w:val="00787594"/>
    <w:pPr>
      <w:ind w:left="720"/>
      <w:contextualSpacing/>
    </w:pPr>
  </w:style>
  <w:style w:type="character" w:styleId="IntenseEmphasis">
    <w:name w:val="Intense Emphasis"/>
    <w:basedOn w:val="DefaultParagraphFont"/>
    <w:uiPriority w:val="21"/>
    <w:qFormat/>
    <w:rsid w:val="00787594"/>
    <w:rPr>
      <w:i/>
      <w:iCs/>
      <w:color w:val="0F4761" w:themeColor="accent1" w:themeShade="BF"/>
    </w:rPr>
  </w:style>
  <w:style w:type="paragraph" w:styleId="IntenseQuote">
    <w:name w:val="Intense Quote"/>
    <w:basedOn w:val="Normal"/>
    <w:next w:val="Normal"/>
    <w:link w:val="IntenseQuoteChar"/>
    <w:uiPriority w:val="30"/>
    <w:qFormat/>
    <w:rsid w:val="00787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7594"/>
    <w:rPr>
      <w:i/>
      <w:iCs/>
      <w:color w:val="0F4761" w:themeColor="accent1" w:themeShade="BF"/>
    </w:rPr>
  </w:style>
  <w:style w:type="character" w:styleId="IntenseReference">
    <w:name w:val="Intense Reference"/>
    <w:basedOn w:val="DefaultParagraphFont"/>
    <w:uiPriority w:val="32"/>
    <w:qFormat/>
    <w:rsid w:val="00787594"/>
    <w:rPr>
      <w:b/>
      <w:bCs/>
      <w:smallCaps/>
      <w:color w:val="0F4761" w:themeColor="accent1" w:themeShade="BF"/>
      <w:spacing w:val="5"/>
    </w:rPr>
  </w:style>
  <w:style w:type="character" w:styleId="Hyperlink">
    <w:name w:val="Hyperlink"/>
    <w:basedOn w:val="DefaultParagraphFont"/>
    <w:uiPriority w:val="99"/>
    <w:unhideWhenUsed/>
    <w:rsid w:val="0078759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aiinsider.tech/2026/01/15/what-are-the-remaining-bottlenecks-for-humanoid-robotics-a-physical-ai-study-finds-the-limits-are-physical-not-cognitive/" TargetMode="External"/><Relationship Id="rId3" Type="http://schemas.openxmlformats.org/officeDocument/2006/relationships/settings" Target="settings.xml"/><Relationship Id="rId7" Type="http://schemas.openxmlformats.org/officeDocument/2006/relationships/hyperlink" Target="https://aibusiness.vc/robots/humanoid-robot-price-comparison-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ixinglobal.com/2026-06-10/china-targets-10000-humanoid-robots-in-commercial-use-by-end-2026-102452656.html" TargetMode="External"/><Relationship Id="rId11" Type="http://schemas.openxmlformats.org/officeDocument/2006/relationships/theme" Target="theme/theme1.xml"/><Relationship Id="rId5" Type="http://schemas.openxmlformats.org/officeDocument/2006/relationships/hyperlink" Target="https://www.scmp.com/economy/china-economy/article/3356629/china-fast-tracks-humanoid-robots-and-embodied-ai-industry-under-nationwide-programm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ap.forecastingresearch.org/reports/wave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853</Words>
  <Characters>4864</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Sunil Mishra</dc:creator>
  <cp:keywords/>
  <dc:description/>
  <cp:lastModifiedBy>Sunil Mishra</cp:lastModifiedBy>
  <cp:revision>12</cp:revision>
  <dcterms:created xsi:type="dcterms:W3CDTF">2026-09-20T12:14:00Z</dcterms:created>
  <dcterms:modified xsi:type="dcterms:W3CDTF">2026-09-20T12:55:00Z</dcterms:modified>
</cp:coreProperties>
</file>